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F5496"/>
          <w:sz w:val="44"/>
          <w:szCs w:val="44"/>
        </w:rPr>
        <w:t xml:space="preserve">MedLedger</w:t>
      </w:r>
    </w:p>
    <w:p>
      <w:pPr>
        <w:spacing w:after="40"/>
        <w:jc w:val="center"/>
      </w:pPr>
      <w:r>
        <w:rPr>
          <w:rFonts w:ascii="Calibri" w:cs="Calibri" w:eastAsia="Calibri" w:hAnsi="Calibri"/>
          <w:b/>
          <w:bCs/>
          <w:sz w:val="26"/>
          <w:szCs w:val="26"/>
        </w:rPr>
        <w:t xml:space="preserve">EER Model, Generalization/Aggregation, and Normalization up to BCNF</w:t>
      </w:r>
    </w:p>
    <w:p>
      <w:pPr>
        <w:spacing w:after="400"/>
        <w:jc w:val="center"/>
      </w:pPr>
      <w:r>
        <w:rPr>
          <w:rFonts w:ascii="Calibri" w:cs="Calibri" w:eastAsia="Calibri" w:hAnsi="Calibri"/>
          <w:i/>
          <w:iCs/>
          <w:color w:val="555555"/>
          <w:sz w:val="20"/>
          <w:szCs w:val="20"/>
        </w:rPr>
        <w:t xml:space="preserve">DA1 — Database Design | Suyash Singh (25BCE5267), Pratik Raj (25BCE5425)</w:t>
      </w:r>
    </w:p>
    <w:p>
      <w:pPr>
        <w:pBdr>
          <w:bottom w:val="single" w:color="AAAAAA" w:sz="6" w:space="1"/>
        </w:pBdr>
        <w:spacing w:after="240"/>
      </w:pPr>
    </w:p>
    <w:p>
      <w:pPr>
        <w:pStyle w:val="Heading1"/>
        <w:spacing w:after="160" w:before="360"/>
      </w:pPr>
      <w:r>
        <w:t xml:space="preserve">1. Introduction</w:t>
      </w:r>
    </w:p>
    <w:p>
      <w:pPr>
        <w:spacing w:after="160" w:line="276"/>
      </w:pPr>
      <w:r>
        <w:rPr>
          <w:rFonts w:ascii="Calibri" w:cs="Calibri" w:eastAsia="Calibri" w:hAnsi="Calibri"/>
          <w:sz w:val="22"/>
          <w:szCs w:val="22"/>
        </w:rPr>
        <w:t xml:space="preserve">This document derives the relational schema of the MedLedger operational database from the hand-drawn EER diagram, identifies the generalization/specialization and aggregation constructs used in the design, and carries every resulting relation through normalization up to Boyce–Codd Normal Form (BCNF). It is written so that it can be copied directly into the DA1 report.</w:t>
      </w:r>
    </w:p>
    <w:p>
      <w:pPr>
        <w:pStyle w:val="Heading1"/>
        <w:spacing w:after="160" w:before="360"/>
      </w:pPr>
      <w:r>
        <w:t xml:space="preserve">2. EER Model — Entities and Attributes</w:t>
      </w:r>
    </w:p>
    <w:p>
      <w:pPr>
        <w:spacing w:after="160" w:line="276"/>
      </w:pPr>
      <w:r>
        <w:rPr>
          <w:rFonts w:ascii="Calibri" w:cs="Calibri" w:eastAsia="Calibri" w:hAnsi="Calibri"/>
          <w:sz w:val="22"/>
          <w:szCs w:val="22"/>
        </w:rPr>
        <w:t xml:space="preserve">The following entities were identified from the diagram. Primary keys are underlined by convention (shown in bold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00"/>
      </w:tblGrid>
      <w:tr>
        <w:trPr>
          <w:cantSplit/>
          <w:tblHeader/>
        </w:trPr>
        <w:tc>
          <w:tcPr>
            <w:tcW w:type="dxa" w:w="28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Entity</w:t>
            </w:r>
          </w:p>
        </w:tc>
        <w:tc>
          <w:tcPr>
            <w:tcW w:type="dxa" w:w="22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Primary Key</w:t>
            </w:r>
          </w:p>
        </w:tc>
        <w:tc>
          <w:tcPr>
            <w:tcW w:type="dxa" w:w="43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Other Attributes</w:t>
            </w:r>
          </w:p>
        </w:tc>
      </w:tr>
      <w:tr>
        <w:trPr>
          <w:cantSplit/>
        </w:trPr>
        <w:tc>
          <w:tcPr>
            <w:tcW w:type="dxa" w:w="28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w:t>
            </w:r>
          </w:p>
        </w:tc>
        <w:tc>
          <w:tcPr>
            <w:tcW w:type="dxa" w:w="2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(PK)</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party_name, address, phone, email</w:t>
            </w:r>
          </w:p>
        </w:tc>
      </w:tr>
      <w:tr>
        <w:trPr>
          <w:cantSplit/>
        </w:trPr>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MANUFACTURER (subclass)</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(PK, FK)</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manufacturing_license_no</w:t>
            </w:r>
          </w:p>
        </w:tc>
      </w:tr>
      <w:tr>
        <w:trPr>
          <w:cantSplit/>
        </w:trPr>
        <w:tc>
          <w:tcPr>
            <w:tcW w:type="dxa" w:w="28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DISTRIBUTOR (subclass)</w:t>
            </w:r>
          </w:p>
        </w:tc>
        <w:tc>
          <w:tcPr>
            <w:tcW w:type="dxa" w:w="2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(PK, FK)</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distributor_license_no</w:t>
            </w:r>
          </w:p>
        </w:tc>
      </w:tr>
      <w:tr>
        <w:trPr>
          <w:cantSplit/>
        </w:trPr>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PHARMACY (subclass)</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(PK, FK)</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pharmacy_license_no, hq</w:t>
            </w:r>
          </w:p>
        </w:tc>
      </w:tr>
      <w:tr>
        <w:trPr>
          <w:cantSplit/>
        </w:trPr>
        <w:tc>
          <w:tcPr>
            <w:tcW w:type="dxa" w:w="28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REGULATOR (subclass)</w:t>
            </w:r>
          </w:p>
        </w:tc>
        <w:tc>
          <w:tcPr>
            <w:tcW w:type="dxa" w:w="2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(PK, FK)</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regulator_code</w:t>
            </w:r>
          </w:p>
        </w:tc>
      </w:tr>
      <w:tr>
        <w:trPr>
          <w:cantSplit/>
        </w:trPr>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drug_id (PK)</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drug_name, description, strength, dosage_form</w:t>
            </w:r>
          </w:p>
        </w:tc>
      </w:tr>
      <w:tr>
        <w:trPr>
          <w:cantSplit/>
        </w:trPr>
        <w:tc>
          <w:tcPr>
            <w:tcW w:type="dxa" w:w="28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w:t>
            </w:r>
          </w:p>
        </w:tc>
        <w:tc>
          <w:tcPr>
            <w:tcW w:type="dxa" w:w="2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batch_id (PK)</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batch_status, manufacture_date</w:t>
            </w:r>
          </w:p>
        </w:tc>
      </w:tr>
      <w:tr>
        <w:trPr>
          <w:cantSplit/>
        </w:trPr>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QUALITY_TEST</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test_id (PK)</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test_date, test_type, result, status</w:t>
            </w:r>
          </w:p>
        </w:tc>
      </w:tr>
      <w:tr>
        <w:trPr>
          <w:cantSplit/>
        </w:trPr>
        <w:tc>
          <w:tcPr>
            <w:tcW w:type="dxa" w:w="28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w:t>
            </w:r>
          </w:p>
        </w:tc>
        <w:tc>
          <w:tcPr>
            <w:tcW w:type="dxa" w:w="2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recall_id (PK)</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recall_date, status, reason</w:t>
            </w:r>
          </w:p>
        </w:tc>
      </w:tr>
      <w:tr>
        <w:trPr>
          <w:cantSplit/>
        </w:trPr>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package_id (PK)</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package_size, packaged_at, qr_code, status</w:t>
            </w:r>
          </w:p>
        </w:tc>
      </w:tr>
      <w:tr>
        <w:trPr>
          <w:cantSplit/>
        </w:trPr>
        <w:tc>
          <w:tcPr>
            <w:tcW w:type="dxa" w:w="28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SHIPMENT</w:t>
            </w:r>
          </w:p>
        </w:tc>
        <w:tc>
          <w:tcPr>
            <w:tcW w:type="dxa" w:w="2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shipment_id (PK)</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shipment_date, status, mode</w:t>
            </w:r>
          </w:p>
        </w:tc>
      </w:tr>
      <w:tr>
        <w:trPr>
          <w:cantSplit/>
        </w:trPr>
        <w:tc>
          <w:tcPr>
            <w:tcW w:type="dxa" w:w="2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DISPENSING</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dispense_id (PK)</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dispensed_at, patient_id, quantity, remarks</w:t>
            </w:r>
          </w:p>
        </w:tc>
      </w:tr>
    </w:tbl>
    <w:p>
      <w:pPr>
        <w:pStyle w:val="Heading1"/>
        <w:spacing w:after="160" w:before="360"/>
      </w:pPr>
      <w:r>
        <w:t xml:space="preserve">3. Relationships and Cardinalities</w:t>
      </w:r>
    </w:p>
    <w:p>
      <w:pPr>
        <w:spacing w:after="160" w:line="276"/>
      </w:pPr>
      <w:r>
        <w:rPr>
          <w:rFonts w:ascii="Calibri" w:cs="Calibri" w:eastAsia="Calibri" w:hAnsi="Calibri"/>
          <w:sz w:val="22"/>
          <w:szCs w:val="22"/>
        </w:rPr>
        <w:t xml:space="preserve">Cardinalities and participation are read directly off the diagram (the '1'/'N'/'M' markers next to each diamond).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400"/>
        <w:gridCol w:w="1900"/>
        <w:gridCol w:w="1200"/>
      </w:tblGrid>
      <w:tr>
        <w:trPr>
          <w:cantSplit/>
          <w:tblHeader/>
        </w:trPr>
        <w:tc>
          <w:tcPr>
            <w:tcW w:type="dxa" w:w="19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Relationship</w:t>
            </w:r>
          </w:p>
        </w:tc>
        <w:tc>
          <w:tcPr>
            <w:tcW w:type="dxa" w:w="29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Entities Involved</w:t>
            </w:r>
          </w:p>
        </w:tc>
        <w:tc>
          <w:tcPr>
            <w:tcW w:type="dxa" w:w="14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Cardinality</w:t>
            </w:r>
          </w:p>
        </w:tc>
        <w:tc>
          <w:tcPr>
            <w:tcW w:type="dxa" w:w="19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Participation</w:t>
            </w:r>
          </w:p>
        </w:tc>
        <w:tc>
          <w:tcPr>
            <w:tcW w:type="dxa" w:w="12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Rel. Attribute</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HAS_BATCH</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 — BATCH</w:t>
            </w:r>
          </w:p>
        </w:tc>
        <w:tc>
          <w:tcPr>
            <w:tcW w:type="dxa" w:w="1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on BATCH</w:t>
            </w:r>
          </w:p>
        </w:tc>
        <w:tc>
          <w:tcPr>
            <w:tcW w:type="dxa" w:w="1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TESTED_BY</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 — QUALITY_TEST</w:t>
            </w:r>
          </w:p>
        </w:tc>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on QUALITY_TEST</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AFFECTS</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 — BATCH</w:t>
            </w:r>
          </w:p>
        </w:tc>
        <w:tc>
          <w:tcPr>
            <w:tcW w:type="dxa" w:w="1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Partial on BATCH</w:t>
            </w:r>
          </w:p>
        </w:tc>
        <w:tc>
          <w:tcPr>
            <w:tcW w:type="dxa" w:w="1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PACKAGED_AS</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 — PACKAGE</w:t>
            </w:r>
          </w:p>
        </w:tc>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on PACKAGE</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quantity_total</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CONTAINS</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 — SHIPMENT</w:t>
            </w:r>
          </w:p>
        </w:tc>
        <w:tc>
          <w:tcPr>
            <w:tcW w:type="dxa" w:w="1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 : N</w:t>
            </w:r>
          </w:p>
        </w:tc>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Partial on both</w:t>
            </w:r>
          </w:p>
        </w:tc>
        <w:tc>
          <w:tcPr>
            <w:tcW w:type="dxa" w:w="1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DISPENSED_IN</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DISPENSING — PACKAGE</w:t>
            </w:r>
          </w:p>
        </w:tc>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Partial on PACKAGE</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SENDS</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 — SHIPMENT</w:t>
            </w:r>
          </w:p>
        </w:tc>
        <w:tc>
          <w:tcPr>
            <w:tcW w:type="dxa" w:w="1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on SHIPMENT</w:t>
            </w:r>
          </w:p>
        </w:tc>
        <w:tc>
          <w:tcPr>
            <w:tcW w:type="dxa" w:w="1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RECEIVES</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 — SHIPMENT</w:t>
            </w:r>
          </w:p>
        </w:tc>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on SHIPMENT</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CREATES</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MANUFACTURER — BATCH</w:t>
            </w:r>
          </w:p>
        </w:tc>
        <w:tc>
          <w:tcPr>
            <w:tcW w:type="dxa" w:w="1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on BATCH</w:t>
            </w:r>
          </w:p>
        </w:tc>
        <w:tc>
          <w:tcPr>
            <w:tcW w:type="dxa" w:w="12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PERFORMS</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PHARMACY — DISPENSING</w:t>
            </w:r>
          </w:p>
        </w:tc>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 N</w:t>
            </w:r>
          </w:p>
        </w:tc>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on DISPENSING</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bl>
    <w:p>
      <w:pPr>
        <w:spacing w:after="160" w:line="276"/>
      </w:pPr>
      <w:r>
        <w:rPr>
          <w:rFonts w:ascii="Calibri" w:cs="Calibri" w:eastAsia="Calibri" w:hAnsi="Calibri"/>
          <w:sz w:val="22"/>
          <w:szCs w:val="22"/>
        </w:rPr>
        <w:t xml:space="preserve">Note on SHIPMENT and PARTY: a shipment participates in two distinct relationships with PARTY — SENDS (the origin party) and RECEIVES (the destination party). These are mapped to two separate foreign keys, sender_party_id and receiver_party_id, in the SHIPMENT relation (see Section 6).</w:t>
      </w:r>
    </w:p>
    <w:p>
      <w:pPr>
        <w:pStyle w:val="Heading1"/>
        <w:spacing w:after="160" w:before="360"/>
      </w:pPr>
      <w:r>
        <w:t xml:space="preserve">4. EER Advanced Constructs</w:t>
      </w:r>
    </w:p>
    <w:p>
      <w:pPr>
        <w:pStyle w:val="Heading2"/>
        <w:spacing w:after="120" w:before="280"/>
      </w:pPr>
      <w:r>
        <w:t xml:space="preserve">4.1 Generalization / Specialization</w:t>
      </w:r>
    </w:p>
    <w:p>
      <w:pPr>
        <w:spacing w:after="160" w:line="276"/>
      </w:pPr>
      <w:r>
        <w:rPr>
          <w:rFonts w:ascii="Calibri" w:cs="Calibri" w:eastAsia="Calibri" w:hAnsi="Calibri"/>
          <w:sz w:val="22"/>
          <w:szCs w:val="22"/>
        </w:rPr>
        <w:t xml:space="preserve">PARTY is generalized into four subclasses — </w:t>
      </w:r>
      <w:r>
        <w:rPr>
          <w:rFonts w:ascii="Calibri" w:cs="Calibri" w:eastAsia="Calibri" w:hAnsi="Calibri"/>
          <w:b/>
          <w:bCs/>
          <w:sz w:val="22"/>
          <w:szCs w:val="22"/>
        </w:rPr>
        <w:t xml:space="preserve">MANUFACTURER, DISTRIBUTOR, PHARMACY</w:t>
      </w:r>
      <w:r>
        <w:rPr>
          <w:rFonts w:ascii="Calibri" w:cs="Calibri" w:eastAsia="Calibri" w:hAnsi="Calibri"/>
          <w:sz w:val="22"/>
          <w:szCs w:val="22"/>
        </w:rPr>
        <w:t xml:space="preserve"> and </w:t>
      </w:r>
      <w:r>
        <w:rPr>
          <w:rFonts w:ascii="Calibri" w:cs="Calibri" w:eastAsia="Calibri" w:hAnsi="Calibri"/>
          <w:b/>
          <w:bCs/>
          <w:sz w:val="22"/>
          <w:szCs w:val="22"/>
        </w:rPr>
        <w:t xml:space="preserve">REGULATOR</w:t>
      </w:r>
      <w:r>
        <w:rPr>
          <w:rFonts w:ascii="Calibri" w:cs="Calibri" w:eastAsia="Calibri" w:hAnsi="Calibri"/>
          <w:sz w:val="22"/>
          <w:szCs w:val="22"/>
        </w:rPr>
        <w:t xml:space="preserve"> — connected through an ISA triangle marked </w:t>
      </w:r>
      <w:r>
        <w:rPr>
          <w:rFonts w:ascii="Calibri" w:cs="Calibri" w:eastAsia="Calibri" w:hAnsi="Calibri"/>
          <w:i/>
          <w:iCs/>
          <w:sz w:val="22"/>
          <w:szCs w:val="22"/>
        </w:rPr>
        <w:t xml:space="preserve">disjoint, total</w:t>
      </w:r>
      <w:r>
        <w:rPr>
          <w:rFonts w:ascii="Calibri" w:cs="Calibri" w:eastAsia="Calibri" w:hAnsi="Calibri"/>
          <w:sz w:val="22"/>
          <w:szCs w:val="22"/>
        </w:rPr>
        <w:t xml:space="preserve"> in the diagram. This is </w:t>
      </w:r>
      <w:r>
        <w:rPr>
          <w:rFonts w:ascii="Calibri" w:cs="Calibri" w:eastAsia="Calibri" w:hAnsi="Calibri"/>
          <w:b/>
          <w:bCs/>
          <w:sz w:val="22"/>
          <w:szCs w:val="22"/>
        </w:rPr>
        <w:t xml:space="preserve">attribute-defined, disjoint, total specialization</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Disjoint — every party plays exactly one role; a manufacturer cannot simultaneously be a pharmacy in this model.</w:t>
      </w:r>
    </w:p>
    <w:p>
      <w:pPr>
        <w:pStyle w:val="ListParagraph"/>
        <w:numPr>
          <w:ilvl w:val="0"/>
          <w:numId w:val="2"/>
        </w:numPr>
        <w:spacing w:after="100" w:line="276"/>
      </w:pPr>
      <w:r>
        <w:rPr>
          <w:rFonts w:ascii="Calibri" w:cs="Calibri" w:eastAsia="Calibri" w:hAnsi="Calibri"/>
          <w:sz w:val="22"/>
          <w:szCs w:val="22"/>
        </w:rPr>
        <w:t xml:space="preserve">Total (mandatory) — every PARTY row must belong to one of the four subclasses; there is no 'generic' party with no role.</w:t>
      </w:r>
    </w:p>
    <w:p>
      <w:pPr>
        <w:pStyle w:val="ListParagraph"/>
        <w:numPr>
          <w:ilvl w:val="0"/>
          <w:numId w:val="2"/>
        </w:numPr>
        <w:spacing w:after="100" w:line="276"/>
      </w:pPr>
      <w:r>
        <w:rPr>
          <w:rFonts w:ascii="Calibri" w:cs="Calibri" w:eastAsia="Calibri" w:hAnsi="Calibri"/>
          <w:sz w:val="22"/>
          <w:szCs w:val="22"/>
        </w:rPr>
        <w:t xml:space="preserve">Each subclass inherits all of PARTY's attributes (party_id, party_name, address, phone, email) and adds role-specific attributes (e.g., manufacturing_license_no, pharmacy_license_no).</w:t>
      </w:r>
    </w:p>
    <w:p>
      <w:pPr>
        <w:spacing w:after="160" w:line="276"/>
      </w:pPr>
      <w:r>
        <w:rPr>
          <w:rFonts w:ascii="Calibri" w:cs="Calibri" w:eastAsia="Calibri" w:hAnsi="Calibri"/>
          <w:sz w:val="22"/>
          <w:szCs w:val="22"/>
        </w:rPr>
        <w:t xml:space="preserve">Mapping choice: because the specialization is total and disjoint but the subclasses carry genuinely different attributes, the standard 'Rule 8b' mapping is used — one table for the superclass PARTY plus one table per subclass, each sharing party_id as both its primary key and a foreign key referencing PARTY. This avoids the wide, mostly-NULL single table that a 'single table with role attributes' mapping would produce, and keeps each subclass's optional attributes out of the other roles' rows.</w:t>
      </w:r>
    </w:p>
    <w:p>
      <w:pPr>
        <w:pStyle w:val="Heading2"/>
        <w:spacing w:after="120" w:before="280"/>
      </w:pPr>
      <w:r>
        <w:t xml:space="preserve">4.2 Aggregation</w:t>
      </w:r>
    </w:p>
    <w:p>
      <w:pPr>
        <w:spacing w:after="160" w:line="276"/>
      </w:pPr>
      <w:r>
        <w:rPr>
          <w:rFonts w:ascii="Calibri" w:cs="Calibri" w:eastAsia="Calibri" w:hAnsi="Calibri"/>
          <w:sz w:val="22"/>
          <w:szCs w:val="22"/>
        </w:rPr>
        <w:t xml:space="preserve">A plain ER relationship cannot itself participate in another relationship, but MedLedger needs exactly that: the custody-transfer event formed by </w:t>
      </w:r>
      <w:r>
        <w:rPr>
          <w:rFonts w:ascii="Calibri" w:cs="Calibri" w:eastAsia="Calibri" w:hAnsi="Calibri"/>
          <w:b/>
          <w:bCs/>
          <w:sz w:val="22"/>
          <w:szCs w:val="22"/>
        </w:rPr>
        <w:t xml:space="preserve">PARTY —SENDS→ SHIPMENT —RECEIVES→ PARTY</w:t>
      </w:r>
      <w:r>
        <w:rPr>
          <w:rFonts w:ascii="Calibri" w:cs="Calibri" w:eastAsia="Calibri" w:hAnsi="Calibri"/>
          <w:sz w:val="22"/>
          <w:szCs w:val="22"/>
        </w:rPr>
        <w:t xml:space="preserve"> is not just an operational record in Oracle — the </w:t>
      </w:r>
    </w:p>
    <w:p>
      <w:pPr>
        <w:spacing w:after="160" w:line="276"/>
      </w:pPr>
      <w:r>
        <w:rPr>
          <w:rFonts w:ascii="Calibri" w:cs="Calibri" w:eastAsia="Calibri" w:hAnsi="Calibri"/>
          <w:sz w:val="22"/>
          <w:szCs w:val="22"/>
        </w:rPr>
        <w:t xml:space="preserve">whole SHIPMENT-with-its-SENDS/RECEIVES relationship is treated as a single higher-level object (an aggregation) that is subsequently mirrored as one custody-transfer transaction on the Hyperledger Fabric ledger, and again as one edge between two Party nodes in the Neo4j provenance graph. Aggregation is the correct EER construct here because the 'thing' being replicated across layers is the relationship instance itself (who sent what to whom, when), not a plain attribute of an entity.</w:t>
      </w:r>
    </w:p>
    <w:p>
      <w:pPr>
        <w:spacing w:after="160" w:line="276"/>
      </w:pPr>
      <w:r>
        <w:rPr>
          <w:rFonts w:ascii="Calibri" w:cs="Calibri" w:eastAsia="Calibri" w:hAnsi="Calibri"/>
          <w:sz w:val="22"/>
          <w:szCs w:val="22"/>
        </w:rPr>
        <w:t xml:space="preserve">A second, smaller aggregation is BATCH treated together with its PACKAGED_AS relationship to PACKAGE: this combined 'traceable unit' (batch + the specific package it was split into) is what actually gets scanned, shipped (CONTAINS) and dispensed (DISPENSED_IN) — i.e., downstream relationships attach to the batch-package pairing as a whole, not to BATCH or PACKAGE in isolation.</w:t>
      </w:r>
    </w:p>
    <w:p>
      <w:pPr>
        <w:pStyle w:val="Heading1"/>
        <w:spacing w:after="160" w:before="360"/>
      </w:pPr>
      <w:r>
        <w:t xml:space="preserve">5. Design Assumptions (stated for grading transparency)</w:t>
      </w:r>
    </w:p>
    <w:p>
      <w:pPr>
        <w:pStyle w:val="ListParagraph"/>
        <w:numPr>
          <w:ilvl w:val="0"/>
          <w:numId w:val="2"/>
        </w:numPr>
        <w:spacing w:after="100" w:line="276"/>
      </w:pPr>
      <w:r>
        <w:rPr>
          <w:rFonts w:ascii="Calibri" w:cs="Calibri" w:eastAsia="Calibri" w:hAnsi="Calibri"/>
          <w:sz w:val="22"/>
          <w:szCs w:val="22"/>
        </w:rPr>
        <w:t xml:space="preserve">AFFECTS is modelled 1:N from RECALL to BATCH — one recall notice can cover several batches of the same drug, but a batch is linked to at most one open recall at a time.</w:t>
      </w:r>
    </w:p>
    <w:p>
      <w:pPr>
        <w:pStyle w:val="ListParagraph"/>
        <w:numPr>
          <w:ilvl w:val="0"/>
          <w:numId w:val="2"/>
        </w:numPr>
        <w:spacing w:after="100" w:line="276"/>
      </w:pPr>
      <w:r>
        <w:rPr>
          <w:rFonts w:ascii="Calibri" w:cs="Calibri" w:eastAsia="Calibri" w:hAnsi="Calibri"/>
          <w:sz w:val="22"/>
          <w:szCs w:val="22"/>
        </w:rPr>
        <w:t xml:space="preserve">CONTAINS is genuinely M:N — a shipment carries many packages, and a returned/re-shipped package can appear in more than one shipment record over its lifetime.</w:t>
      </w:r>
    </w:p>
    <w:p>
      <w:pPr>
        <w:pStyle w:val="ListParagraph"/>
        <w:numPr>
          <w:ilvl w:val="0"/>
          <w:numId w:val="2"/>
        </w:numPr>
        <w:spacing w:after="100" w:line="276"/>
      </w:pPr>
      <w:r>
        <w:rPr>
          <w:rFonts w:ascii="Calibri" w:cs="Calibri" w:eastAsia="Calibri" w:hAnsi="Calibri"/>
          <w:sz w:val="22"/>
          <w:szCs w:val="22"/>
        </w:rPr>
        <w:t xml:space="preserve">DISPENSED_IN is 1:N from DISPENSING to PACKAGE — one dispensing event (one visit to the pharmacy counter) can hand over several packages to the same patient.</w:t>
      </w:r>
    </w:p>
    <w:p>
      <w:pPr>
        <w:pStyle w:val="ListParagraph"/>
        <w:numPr>
          <w:ilvl w:val="0"/>
          <w:numId w:val="2"/>
        </w:numPr>
        <w:spacing w:after="100" w:line="276"/>
      </w:pPr>
      <w:r>
        <w:rPr>
          <w:rFonts w:ascii="Calibri" w:cs="Calibri" w:eastAsia="Calibri" w:hAnsi="Calibri"/>
          <w:sz w:val="22"/>
          <w:szCs w:val="22"/>
        </w:rPr>
        <w:t xml:space="preserve">qr_code in PACKAGE is a candidate key (alternate key) in addition to package_id, since the abstract states the QR code encodes 'a unique package identifier'.</w:t>
      </w:r>
    </w:p>
    <w:p>
      <w:pPr>
        <w:pStyle w:val="Heading1"/>
        <w:spacing w:after="160" w:before="360"/>
      </w:pPr>
      <w:r>
        <w:t xml:space="preserve">6. Mapping the EER Model to a Relational Schema</w:t>
      </w:r>
    </w:p>
    <w:p>
      <w:pPr>
        <w:spacing w:after="160" w:line="276"/>
      </w:pPr>
      <w:r>
        <w:rPr>
          <w:rFonts w:ascii="Calibri" w:cs="Calibri" w:eastAsia="Calibri" w:hAnsi="Calibri"/>
          <w:sz w:val="22"/>
          <w:szCs w:val="22"/>
        </w:rPr>
        <w:t xml:space="preserve">Applying the standard ER-to-relational mapping rules (regular entities → tables; 1:N relationships → foreign key on the 'N' side; M:N relationships → a new bridge table; total/disjoint specialization → superclass table + subclass tables sharing the key) gives thirteen base relations: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400"/>
      </w:tblGrid>
      <w:tr>
        <w:trPr>
          <w:cantSplit/>
          <w:tblHeader/>
        </w:trPr>
        <w:tc>
          <w:tcPr>
            <w:tcW w:type="dxa" w:w="16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Relation</w:t>
            </w:r>
          </w:p>
        </w:tc>
        <w:tc>
          <w:tcPr>
            <w:tcW w:type="dxa" w:w="43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Attributes (PK first)</w:t>
            </w:r>
          </w:p>
        </w:tc>
        <w:tc>
          <w:tcPr>
            <w:tcW w:type="dxa" w:w="34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Foreign Keys</w:t>
            </w:r>
          </w:p>
        </w:tc>
      </w:tr>
      <w:tr>
        <w:trPr>
          <w:cantSplit/>
        </w:trPr>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party_name, address, phone, email</w:t>
            </w:r>
          </w:p>
        </w:tc>
        <w:tc>
          <w:tcPr>
            <w:tcW w:type="dxa" w:w="3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MANUFACTURER</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manufacturing_license_no</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 PARTY.party_id</w:t>
            </w:r>
          </w:p>
        </w:tc>
      </w:tr>
      <w:tr>
        <w:trPr>
          <w:cantSplit/>
        </w:trPr>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DISTRIBUTOR</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distributor_license_no</w:t>
            </w:r>
          </w:p>
        </w:tc>
        <w:tc>
          <w:tcPr>
            <w:tcW w:type="dxa" w:w="3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 PARTY.party_id</w:t>
            </w:r>
          </w:p>
        </w:tc>
      </w:tr>
      <w:tr>
        <w:trPr>
          <w:cantSplit/>
        </w:trPr>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PHARMACY</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pharmacy_license_no, hq</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 PARTY.party_id</w:t>
            </w:r>
          </w:p>
        </w:tc>
      </w:tr>
      <w:tr>
        <w:trPr>
          <w:cantSplit/>
        </w:trPr>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REGULATOR</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regulator_code</w:t>
            </w:r>
          </w:p>
        </w:tc>
        <w:tc>
          <w:tcPr>
            <w:tcW w:type="dxa" w:w="3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 PARTY.party_id</w:t>
            </w:r>
          </w:p>
        </w:tc>
      </w:tr>
      <w:tr>
        <w:trPr>
          <w:cantSplit/>
        </w:trPr>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drug_id, drug_name, description, strength, dosage_form</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batch_id, drug_id, manufacturer_id, recall_id, batch_status, manufacture_date</w:t>
            </w:r>
          </w:p>
        </w:tc>
        <w:tc>
          <w:tcPr>
            <w:tcW w:type="dxa" w:w="3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drug_id → DRUG.drug_id; manufacturer_id → MANUFACTURER.party_id; recall_id → RECALL.recall_id (nullable)</w:t>
            </w:r>
          </w:p>
        </w:tc>
      </w:tr>
      <w:tr>
        <w:trPr>
          <w:cantSplit/>
        </w:trPr>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QUALITY_TEST</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test_id, batch_id, test_date, test_type, result, status</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batch_id → BATCH.batch_id</w:t>
            </w:r>
          </w:p>
        </w:tc>
      </w:tr>
      <w:tr>
        <w:trPr>
          <w:cantSplit/>
        </w:trPr>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recall_id, recall_date, status, reason</w:t>
            </w:r>
          </w:p>
        </w:tc>
        <w:tc>
          <w:tcPr>
            <w:tcW w:type="dxa" w:w="3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rPr>
          <w:cantSplit/>
        </w:trPr>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package_id, batch_id, dispense_id, package_size, packaged_at, qr_code, status, quantity_total</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batch_id → BATCH.batch_id; dispense_id → DISPENSING.dispense_id (nullable)</w:t>
            </w:r>
          </w:p>
        </w:tc>
      </w:tr>
      <w:tr>
        <w:trPr>
          <w:cantSplit/>
        </w:trPr>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SHIPMENT</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shipment_id, sender_party_id, receiver_party_id, shipment_date, status, mode</w:t>
            </w:r>
          </w:p>
        </w:tc>
        <w:tc>
          <w:tcPr>
            <w:tcW w:type="dxa" w:w="3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sender_party_id → PARTY.party_id; receiver_party_id → PARTY.party_id</w:t>
            </w:r>
          </w:p>
        </w:tc>
      </w:tr>
      <w:tr>
        <w:trPr>
          <w:cantSplit/>
        </w:trPr>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CONTAINS</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package_id, shipment_id</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package_id → PACKAGE.package_id; shipment_id → SHIPMENT.shipment_id (composite PK)</w:t>
            </w:r>
          </w:p>
        </w:tc>
      </w:tr>
      <w:tr>
        <w:trPr>
          <w:cantSplit/>
        </w:trPr>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DISPENSING</w:t>
            </w:r>
          </w:p>
        </w:tc>
        <w:tc>
          <w:tcPr>
            <w:tcW w:type="dxa" w:w="4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dispense_id, pharmacy_id, dispensed_at, patient_id, quantity, remarks</w:t>
            </w:r>
          </w:p>
        </w:tc>
        <w:tc>
          <w:tcPr>
            <w:tcW w:type="dxa" w:w="34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pharmacy_id → PHARMACY.party_id</w:t>
            </w:r>
          </w:p>
        </w:tc>
      </w:tr>
    </w:tbl>
    <w:p>
      <w:pPr>
        <w:pStyle w:val="Heading1"/>
        <w:spacing w:after="160" w:before="360"/>
      </w:pPr>
      <w:r>
        <w:t xml:space="preserve">7. Functional Dependencies</w:t>
      </w:r>
    </w:p>
    <w:p>
      <w:pPr>
        <w:spacing w:after="160" w:line="276"/>
      </w:pPr>
      <w:r>
        <w:rPr>
          <w:rFonts w:ascii="Calibri" w:cs="Calibri" w:eastAsia="Calibri" w:hAnsi="Calibri"/>
          <w:sz w:val="22"/>
          <w:szCs w:val="22"/>
        </w:rPr>
        <w:t xml:space="preserve">Primary-key attributes are shown in bold on the left of each dependency.</w:t>
      </w:r>
    </w:p>
    <w:p>
      <w:pPr>
        <w:spacing w:after="160" w:line="276"/>
      </w:pPr>
      <w:r>
        <w:rPr>
          <w:rFonts w:ascii="Calibri" w:cs="Calibri" w:eastAsia="Calibri" w:hAnsi="Calibri"/>
          <w:b/>
          <w:bCs/>
          <w:sz w:val="22"/>
          <w:szCs w:val="22"/>
        </w:rPr>
        <w:t xml:space="preserve">PARTY:  </w:t>
      </w:r>
      <w:r>
        <w:rPr>
          <w:rFonts w:ascii="Calibri" w:cs="Calibri" w:eastAsia="Calibri" w:hAnsi="Calibri"/>
          <w:sz w:val="22"/>
          <w:szCs w:val="22"/>
        </w:rPr>
        <w:t xml:space="preserve">party_id → party_name, address, phone, email</w:t>
      </w:r>
    </w:p>
    <w:p>
      <w:pPr>
        <w:spacing w:after="160" w:line="276"/>
      </w:pPr>
      <w:r>
        <w:rPr>
          <w:rFonts w:ascii="Calibri" w:cs="Calibri" w:eastAsia="Calibri" w:hAnsi="Calibri"/>
          <w:b/>
          <w:bCs/>
          <w:sz w:val="22"/>
          <w:szCs w:val="22"/>
        </w:rPr>
        <w:t xml:space="preserve">MANUFACTURER:  </w:t>
      </w:r>
      <w:r>
        <w:rPr>
          <w:rFonts w:ascii="Calibri" w:cs="Calibri" w:eastAsia="Calibri" w:hAnsi="Calibri"/>
          <w:sz w:val="22"/>
          <w:szCs w:val="22"/>
        </w:rPr>
        <w:t xml:space="preserve">party_id → manufacturing_license_no  (and manufacturing_license_no → party_id, since licence numbers are unique)</w:t>
      </w:r>
    </w:p>
    <w:p>
      <w:pPr>
        <w:spacing w:after="160" w:line="276"/>
      </w:pPr>
      <w:r>
        <w:rPr>
          <w:rFonts w:ascii="Calibri" w:cs="Calibri" w:eastAsia="Calibri" w:hAnsi="Calibri"/>
          <w:b/>
          <w:bCs/>
          <w:sz w:val="22"/>
          <w:szCs w:val="22"/>
        </w:rPr>
        <w:t xml:space="preserve">DISTRIBUTOR:  </w:t>
      </w:r>
      <w:r>
        <w:rPr>
          <w:rFonts w:ascii="Calibri" w:cs="Calibri" w:eastAsia="Calibri" w:hAnsi="Calibri"/>
          <w:sz w:val="22"/>
          <w:szCs w:val="22"/>
        </w:rPr>
        <w:t xml:space="preserve">party_id → distributor_license_no  (distributor_license_no → party_id)</w:t>
      </w:r>
    </w:p>
    <w:p>
      <w:pPr>
        <w:spacing w:after="160" w:line="276"/>
      </w:pPr>
      <w:r>
        <w:rPr>
          <w:rFonts w:ascii="Calibri" w:cs="Calibri" w:eastAsia="Calibri" w:hAnsi="Calibri"/>
          <w:b/>
          <w:bCs/>
          <w:sz w:val="22"/>
          <w:szCs w:val="22"/>
        </w:rPr>
        <w:t xml:space="preserve">PHARMACY:  </w:t>
      </w:r>
      <w:r>
        <w:rPr>
          <w:rFonts w:ascii="Calibri" w:cs="Calibri" w:eastAsia="Calibri" w:hAnsi="Calibri"/>
          <w:sz w:val="22"/>
          <w:szCs w:val="22"/>
        </w:rPr>
        <w:t xml:space="preserve">party_id → pharmacy_license_no, hq  (pharmacy_license_no → party_id)</w:t>
      </w:r>
    </w:p>
    <w:p>
      <w:pPr>
        <w:spacing w:after="160" w:line="276"/>
      </w:pPr>
      <w:r>
        <w:rPr>
          <w:rFonts w:ascii="Calibri" w:cs="Calibri" w:eastAsia="Calibri" w:hAnsi="Calibri"/>
          <w:b/>
          <w:bCs/>
          <w:sz w:val="22"/>
          <w:szCs w:val="22"/>
        </w:rPr>
        <w:t xml:space="preserve">REGULATOR:  </w:t>
      </w:r>
      <w:r>
        <w:rPr>
          <w:rFonts w:ascii="Calibri" w:cs="Calibri" w:eastAsia="Calibri" w:hAnsi="Calibri"/>
          <w:sz w:val="22"/>
          <w:szCs w:val="22"/>
        </w:rPr>
        <w:t xml:space="preserve">party_id → regulator_code  (regulator_code → party_id)</w:t>
      </w:r>
    </w:p>
    <w:p>
      <w:pPr>
        <w:spacing w:after="160" w:line="276"/>
      </w:pPr>
      <w:r>
        <w:rPr>
          <w:rFonts w:ascii="Calibri" w:cs="Calibri" w:eastAsia="Calibri" w:hAnsi="Calibri"/>
          <w:b/>
          <w:bCs/>
          <w:sz w:val="22"/>
          <w:szCs w:val="22"/>
        </w:rPr>
        <w:t xml:space="preserve">DRUG:  </w:t>
      </w:r>
      <w:r>
        <w:rPr>
          <w:rFonts w:ascii="Calibri" w:cs="Calibri" w:eastAsia="Calibri" w:hAnsi="Calibri"/>
          <w:sz w:val="22"/>
          <w:szCs w:val="22"/>
        </w:rPr>
        <w:t xml:space="preserve">drug_id → drug_name, description, strength, dosage_form</w:t>
      </w:r>
    </w:p>
    <w:p>
      <w:pPr>
        <w:spacing w:after="160" w:line="276"/>
      </w:pPr>
      <w:r>
        <w:rPr>
          <w:rFonts w:ascii="Calibri" w:cs="Calibri" w:eastAsia="Calibri" w:hAnsi="Calibri"/>
          <w:b/>
          <w:bCs/>
          <w:sz w:val="22"/>
          <w:szCs w:val="22"/>
        </w:rPr>
        <w:t xml:space="preserve">BATCH:  </w:t>
      </w:r>
      <w:r>
        <w:rPr>
          <w:rFonts w:ascii="Calibri" w:cs="Calibri" w:eastAsia="Calibri" w:hAnsi="Calibri"/>
          <w:sz w:val="22"/>
          <w:szCs w:val="22"/>
        </w:rPr>
        <w:t xml:space="preserve">batch_id → drug_id, manufacturer_id, recall_id, batch_status, manufacture_date</w:t>
      </w:r>
    </w:p>
    <w:p>
      <w:pPr>
        <w:spacing w:after="160" w:line="276"/>
      </w:pPr>
      <w:r>
        <w:rPr>
          <w:rFonts w:ascii="Calibri" w:cs="Calibri" w:eastAsia="Calibri" w:hAnsi="Calibri"/>
          <w:b/>
          <w:bCs/>
          <w:sz w:val="22"/>
          <w:szCs w:val="22"/>
        </w:rPr>
        <w:t xml:space="preserve">QUALITY_TEST:  </w:t>
      </w:r>
      <w:r>
        <w:rPr>
          <w:rFonts w:ascii="Calibri" w:cs="Calibri" w:eastAsia="Calibri" w:hAnsi="Calibri"/>
          <w:sz w:val="22"/>
          <w:szCs w:val="22"/>
        </w:rPr>
        <w:t xml:space="preserve">test_id → batch_id, test_date, test_type, result, status</w:t>
      </w:r>
    </w:p>
    <w:p>
      <w:pPr>
        <w:spacing w:after="160" w:line="276"/>
      </w:pPr>
      <w:r>
        <w:rPr>
          <w:rFonts w:ascii="Calibri" w:cs="Calibri" w:eastAsia="Calibri" w:hAnsi="Calibri"/>
          <w:b/>
          <w:bCs/>
          <w:sz w:val="22"/>
          <w:szCs w:val="22"/>
        </w:rPr>
        <w:t xml:space="preserve">RECALL:  </w:t>
      </w:r>
      <w:r>
        <w:rPr>
          <w:rFonts w:ascii="Calibri" w:cs="Calibri" w:eastAsia="Calibri" w:hAnsi="Calibri"/>
          <w:sz w:val="22"/>
          <w:szCs w:val="22"/>
        </w:rPr>
        <w:t xml:space="preserve">recall_id → recall_date, status, reason</w:t>
      </w:r>
    </w:p>
    <w:p>
      <w:pPr>
        <w:spacing w:after="160" w:line="276"/>
      </w:pPr>
      <w:r>
        <w:rPr>
          <w:rFonts w:ascii="Calibri" w:cs="Calibri" w:eastAsia="Calibri" w:hAnsi="Calibri"/>
          <w:b/>
          <w:bCs/>
          <w:sz w:val="22"/>
          <w:szCs w:val="22"/>
        </w:rPr>
        <w:t xml:space="preserve">PACKAGE:  </w:t>
      </w:r>
      <w:r>
        <w:rPr>
          <w:rFonts w:ascii="Calibri" w:cs="Calibri" w:eastAsia="Calibri" w:hAnsi="Calibri"/>
          <w:sz w:val="22"/>
          <w:szCs w:val="22"/>
        </w:rPr>
        <w:t xml:space="preserve">package_id → batch_id, dispense_id, package_size, packaged_at, qr_code, status, quantity_total; and qr_code → package_id, batch_id, dispense_id, package_size, packaged_at, status, quantity_total (qr_code is an alternate key)</w:t>
      </w:r>
    </w:p>
    <w:p>
      <w:pPr>
        <w:spacing w:after="160" w:line="276"/>
      </w:pPr>
      <w:r>
        <w:rPr>
          <w:rFonts w:ascii="Calibri" w:cs="Calibri" w:eastAsia="Calibri" w:hAnsi="Calibri"/>
          <w:b/>
          <w:bCs/>
          <w:sz w:val="22"/>
          <w:szCs w:val="22"/>
        </w:rPr>
        <w:t xml:space="preserve">SHIPMENT:  </w:t>
      </w:r>
      <w:r>
        <w:rPr>
          <w:rFonts w:ascii="Calibri" w:cs="Calibri" w:eastAsia="Calibri" w:hAnsi="Calibri"/>
          <w:sz w:val="22"/>
          <w:szCs w:val="22"/>
        </w:rPr>
        <w:t xml:space="preserve">shipment_id → sender_party_id, receiver_party_id, shipment_date, status, mode</w:t>
      </w:r>
    </w:p>
    <w:p>
      <w:pPr>
        <w:spacing w:after="160" w:line="276"/>
      </w:pPr>
      <w:r>
        <w:rPr>
          <w:rFonts w:ascii="Calibri" w:cs="Calibri" w:eastAsia="Calibri" w:hAnsi="Calibri"/>
          <w:b/>
          <w:bCs/>
          <w:sz w:val="22"/>
          <w:szCs w:val="22"/>
        </w:rPr>
        <w:t xml:space="preserve">CONTAINS:  </w:t>
      </w:r>
      <w:r>
        <w:rPr>
          <w:rFonts w:ascii="Calibri" w:cs="Calibri" w:eastAsia="Calibri" w:hAnsi="Calibri"/>
          <w:sz w:val="22"/>
          <w:szCs w:val="22"/>
        </w:rPr>
        <w:t xml:space="preserve">(package_id, shipment_id) → — (no non-key attributes; composite key is the whole relation)</w:t>
      </w:r>
    </w:p>
    <w:p>
      <w:pPr>
        <w:spacing w:after="160" w:line="276"/>
      </w:pPr>
      <w:r>
        <w:rPr>
          <w:rFonts w:ascii="Calibri" w:cs="Calibri" w:eastAsia="Calibri" w:hAnsi="Calibri"/>
          <w:b/>
          <w:bCs/>
          <w:sz w:val="22"/>
          <w:szCs w:val="22"/>
        </w:rPr>
        <w:t xml:space="preserve">DISPENSING:  </w:t>
      </w:r>
      <w:r>
        <w:rPr>
          <w:rFonts w:ascii="Calibri" w:cs="Calibri" w:eastAsia="Calibri" w:hAnsi="Calibri"/>
          <w:sz w:val="22"/>
          <w:szCs w:val="22"/>
        </w:rPr>
        <w:t xml:space="preserve">dispense_id → pharmacy_id, dispensed_at, patient_id, quantity, remarks</w:t>
      </w:r>
    </w:p>
    <w:p>
      <w:pPr>
        <w:pStyle w:val="Heading1"/>
        <w:spacing w:after="160" w:before="360"/>
      </w:pPr>
      <w:r>
        <w:t xml:space="preserve">8. Normalization Walk-through (1NF → 2NF → 3NF → BCNF)</w:t>
      </w:r>
    </w:p>
    <w:p>
      <w:pPr>
        <w:spacing w:after="160" w:line="276"/>
      </w:pPr>
      <w:r>
        <w:rPr>
          <w:rFonts w:ascii="Calibri" w:cs="Calibri" w:eastAsia="Calibri" w:hAnsi="Calibri"/>
          <w:sz w:val="22"/>
          <w:szCs w:val="22"/>
        </w:rPr>
        <w:t xml:space="preserve">Each relation in Section 6 was derived directly from the EER model using surrogate primary keys, so — as shown in Section 9 — every one of them already satisfies BCNF once written out this way. To demonstrate the normalization process itself (rather than only its result), this section starts from a single denormalized, unnormalized-form (UNF) table that a naive first-pass design might produce, and decomposes it step by step into the BCNF relations above.</w:t>
      </w:r>
    </w:p>
    <w:p>
      <w:pPr>
        <w:pStyle w:val="Heading2"/>
        <w:spacing w:after="120" w:before="280"/>
      </w:pPr>
      <w:r>
        <w:t xml:space="preserve">8.1 Starting point: an unnormalized 'Batch Record' table</w:t>
      </w:r>
    </w:p>
    <w:p>
      <w:pPr>
        <w:spacing w:after="160" w:line="276"/>
      </w:pPr>
      <w:r>
        <w:rPr>
          <w:rFonts w:ascii="Calibri" w:cs="Calibri" w:eastAsia="Calibri" w:hAnsi="Calibri"/>
          <w:sz w:val="22"/>
          <w:szCs w:val="22"/>
        </w:rPr>
        <w:t xml:space="preserve">Suppose batch, drug, manufacturer and quality-test data were all captured in one flat table when a batch is registered:</w:t>
      </w:r>
    </w:p>
    <w:p>
      <w:pPr>
        <w:spacing w:after="160" w:line="276"/>
      </w:pPr>
      <w:r>
        <w:rPr>
          <w:rFonts w:ascii="Calibri" w:cs="Calibri" w:eastAsia="Calibri" w:hAnsi="Calibri"/>
          <w:b/>
          <w:bCs/>
          <w:sz w:val="22"/>
          <w:szCs w:val="22"/>
        </w:rPr>
        <w:t xml:space="preserve">BATCH_RECORD</w:t>
      </w:r>
      <w:r>
        <w:rPr>
          <w:rFonts w:ascii="Calibri" w:cs="Calibri" w:eastAsia="Calibri" w:hAnsi="Calibri"/>
          <w:sz w:val="22"/>
          <w:szCs w:val="22"/>
        </w:rPr>
        <w:t xml:space="preserve"> (batch_id, manufacture_date, batch_status, drug_id, drug_name, strength, dosage_form, manufacturer_id, manufacturing_license_no, {test_id, test_date, test_type, result})</w:t>
      </w:r>
    </w:p>
    <w:p>
      <w:pPr>
        <w:spacing w:after="160" w:line="276"/>
      </w:pPr>
      <w:r>
        <w:rPr>
          <w:rFonts w:ascii="Calibri" w:cs="Calibri" w:eastAsia="Calibri" w:hAnsi="Calibri"/>
          <w:sz w:val="22"/>
          <w:szCs w:val="22"/>
        </w:rPr>
        <w:t xml:space="preserve">The braces indicate that a batch undergoes multiple quality tests, so this attribute is a repeating group / multivalued attribute — the table is in unnormalized form (UNF), not even 1NF.</w:t>
      </w:r>
    </w:p>
    <w:p>
      <w:pPr>
        <w:pStyle w:val="Heading2"/>
        <w:spacing w:after="120" w:before="280"/>
      </w:pPr>
      <w:r>
        <w:t xml:space="preserve">8.2 First Normal Form (1NF)</w:t>
      </w:r>
    </w:p>
    <w:p>
      <w:pPr>
        <w:spacing w:after="160" w:line="276"/>
      </w:pPr>
      <w:r>
        <w:rPr>
          <w:rFonts w:ascii="Calibri" w:cs="Calibri" w:eastAsia="Calibri" w:hAnsi="Calibri"/>
          <w:sz w:val="22"/>
          <w:szCs w:val="22"/>
        </w:rPr>
        <w:t xml:space="preserve">Rule: every attribute must hold a single atomic value — no repeating groups or nested tables.</w:t>
      </w:r>
    </w:p>
    <w:p>
      <w:pPr>
        <w:spacing w:after="160" w:line="276"/>
      </w:pPr>
      <w:r>
        <w:rPr>
          <w:rFonts w:ascii="Calibri" w:cs="Calibri" w:eastAsia="Calibri" w:hAnsi="Calibri"/>
          <w:sz w:val="22"/>
          <w:szCs w:val="22"/>
        </w:rPr>
        <w:t xml:space="preserve">Fix: pull the repeating quality-test group into its own row per test, carrying the batch_id along so each test can still be tied back to its batch:</w:t>
      </w:r>
    </w:p>
    <w:p>
      <w:pPr>
        <w:spacing w:after="160" w:line="276"/>
      </w:pPr>
      <w:r>
        <w:rPr>
          <w:rFonts w:ascii="Calibri" w:cs="Calibri" w:eastAsia="Calibri" w:hAnsi="Calibri"/>
          <w:b/>
          <w:bCs/>
          <w:sz w:val="22"/>
          <w:szCs w:val="22"/>
        </w:rPr>
        <w:t xml:space="preserve">BATCH_RECORD_1NF</w:t>
      </w:r>
      <w:r>
        <w:rPr>
          <w:rFonts w:ascii="Calibri" w:cs="Calibri" w:eastAsia="Calibri" w:hAnsi="Calibri"/>
          <w:sz w:val="22"/>
          <w:szCs w:val="22"/>
        </w:rPr>
        <w:t xml:space="preserve"> (batch_id, manufacture_date, batch_status, drug_id, drug_name, strength, dosage_form, manufacturer_id, manufacturing_license_no, test_id, test_date, test_type, result)</w:t>
      </w:r>
    </w:p>
    <w:p>
      <w:pPr>
        <w:spacing w:after="160" w:line="276"/>
      </w:pPr>
      <w:r>
        <w:rPr>
          <w:rFonts w:ascii="Calibri" w:cs="Calibri" w:eastAsia="Calibri" w:hAnsi="Calibri"/>
          <w:sz w:val="22"/>
          <w:szCs w:val="22"/>
        </w:rPr>
        <w:t xml:space="preserve">This is now in 1NF, with composite candidate key (batch_id, test_id) — since a given test_id only makes sense in the context of a batch, and one batch can have several tests.</w:t>
      </w:r>
    </w:p>
    <w:p>
      <w:pPr>
        <w:pStyle w:val="Heading2"/>
        <w:spacing w:after="120" w:before="280"/>
      </w:pPr>
      <w:r>
        <w:t xml:space="preserve">8.3 Second Normal Form (2NF)</w:t>
      </w:r>
    </w:p>
    <w:p>
      <w:pPr>
        <w:spacing w:after="160" w:line="276"/>
      </w:pPr>
      <w:r>
        <w:rPr>
          <w:rFonts w:ascii="Calibri" w:cs="Calibri" w:eastAsia="Calibri" w:hAnsi="Calibri"/>
          <w:sz w:val="22"/>
          <w:szCs w:val="22"/>
        </w:rPr>
        <w:t xml:space="preserve">Rule: 1NF, and no non-key attribute may depend on only part of a composite candidate key (no partial dependency).</w:t>
      </w:r>
    </w:p>
    <w:p>
      <w:pPr>
        <w:spacing w:after="160" w:line="276"/>
      </w:pPr>
      <w:r>
        <w:rPr>
          <w:rFonts w:ascii="Calibri" w:cs="Calibri" w:eastAsia="Calibri" w:hAnsi="Calibri"/>
          <w:sz w:val="22"/>
          <w:szCs w:val="22"/>
        </w:rPr>
        <w:t xml:space="preserve">Check: with candidate key (batch_id, test_id), the attributes manufacture_date, batch_status, drug_id, drug_name, strength, dosage_form, manufacturer_id and manufacturing_license_no all depend on batch_id alone — they do not change from one test row to the next for the same batch. Only test_date, test_type and result genuinely depend on the full key (batch_id, test_id). This is a partial dependency and it causes update anomalies (e.g., changing a drug's strength requires editing it in every test row for every batch of that drug).</w:t>
      </w:r>
    </w:p>
    <w:p>
      <w:pPr>
        <w:spacing w:after="160" w:line="276"/>
      </w:pPr>
      <w:r>
        <w:rPr>
          <w:rFonts w:ascii="Calibri" w:cs="Calibri" w:eastAsia="Calibri" w:hAnsi="Calibri"/>
          <w:sz w:val="22"/>
          <w:szCs w:val="22"/>
        </w:rPr>
        <w:t xml:space="preserve">Fix: split off the batch-only attributes into their own relation:</w:t>
      </w:r>
    </w:p>
    <w:p>
      <w:pPr>
        <w:pStyle w:val="ListParagraph"/>
        <w:numPr>
          <w:ilvl w:val="0"/>
          <w:numId w:val="2"/>
        </w:numPr>
        <w:spacing w:after="100" w:line="276"/>
      </w:pPr>
      <w:r>
        <w:rPr>
          <w:rFonts w:ascii="Calibri" w:cs="Calibri" w:eastAsia="Calibri" w:hAnsi="Calibri"/>
          <w:sz w:val="22"/>
          <w:szCs w:val="22"/>
        </w:rPr>
        <w:t xml:space="preserve">BATCH_2NF (batch_id, manufacture_date, batch_status, drug_id, drug_name, strength, dosage_form, manufacturer_id, manufacturing_license_no)</w:t>
      </w:r>
    </w:p>
    <w:p>
      <w:pPr>
        <w:pStyle w:val="ListParagraph"/>
        <w:numPr>
          <w:ilvl w:val="0"/>
          <w:numId w:val="2"/>
        </w:numPr>
        <w:spacing w:after="100" w:line="276"/>
      </w:pPr>
      <w:r>
        <w:rPr>
          <w:rFonts w:ascii="Calibri" w:cs="Calibri" w:eastAsia="Calibri" w:hAnsi="Calibri"/>
          <w:sz w:val="22"/>
          <w:szCs w:val="22"/>
        </w:rPr>
        <w:t xml:space="preserve">QUALITY_TEST_2NF (batch_id, test_id, test_date, test_type, result)</w:t>
      </w:r>
    </w:p>
    <w:p>
      <w:pPr>
        <w:spacing w:after="160" w:line="276"/>
      </w:pPr>
      <w:r>
        <w:rPr>
          <w:rFonts w:ascii="Calibri" w:cs="Calibri" w:eastAsia="Calibri" w:hAnsi="Calibri"/>
          <w:sz w:val="22"/>
          <w:szCs w:val="22"/>
        </w:rPr>
        <w:t xml:space="preserve">Both relations are now in 2NF.</w:t>
      </w:r>
    </w:p>
    <w:p>
      <w:pPr>
        <w:pStyle w:val="Heading2"/>
        <w:spacing w:after="120" w:before="280"/>
      </w:pPr>
      <w:r>
        <w:t xml:space="preserve">8.4 Third Normal Form (3NF)</w:t>
      </w:r>
    </w:p>
    <w:p>
      <w:pPr>
        <w:spacing w:after="160" w:line="276"/>
      </w:pPr>
      <w:r>
        <w:rPr>
          <w:rFonts w:ascii="Calibri" w:cs="Calibri" w:eastAsia="Calibri" w:hAnsi="Calibri"/>
          <w:sz w:val="22"/>
          <w:szCs w:val="22"/>
        </w:rPr>
        <w:t xml:space="preserve">Rule: 2NF, and no non-key attribute may depend transitively on the key (i.e., no non-key attribute may depend on another non-key attribute).</w:t>
      </w:r>
    </w:p>
    <w:p>
      <w:pPr>
        <w:spacing w:after="160" w:line="276"/>
      </w:pPr>
      <w:r>
        <w:rPr>
          <w:rFonts w:ascii="Calibri" w:cs="Calibri" w:eastAsia="Calibri" w:hAnsi="Calibri"/>
          <w:sz w:val="22"/>
          <w:szCs w:val="22"/>
        </w:rPr>
        <w:t xml:space="preserve">Check BATCH_2NF: the key is batch_id. But drug_name, strength and dosage_form depend on drug_id, not directly on batch_id (batch_id → drug_id → drug_name, strength, dosage_form). Likewise manufacturing_license_no depends on manufacturer_id, not on batch_id directly. Both are transitive dependencies and both cause anomalies — e.g., a drug's strength is duplicated across every batch of that drug, and correcting a typo means updating many rows.</w:t>
      </w:r>
    </w:p>
    <w:p>
      <w:pPr>
        <w:spacing w:after="160" w:line="276"/>
      </w:pPr>
      <w:r>
        <w:rPr>
          <w:rFonts w:ascii="Calibri" w:cs="Calibri" w:eastAsia="Calibri" w:hAnsi="Calibri"/>
          <w:sz w:val="22"/>
          <w:szCs w:val="22"/>
        </w:rPr>
        <w:t xml:space="preserve">Fix: split the transitively dependent attributes into their own relations, keyed on the attribute they truly depend on:</w:t>
      </w:r>
    </w:p>
    <w:p>
      <w:pPr>
        <w:pStyle w:val="ListParagraph"/>
        <w:numPr>
          <w:ilvl w:val="0"/>
          <w:numId w:val="2"/>
        </w:numPr>
        <w:spacing w:after="100" w:line="276"/>
      </w:pPr>
      <w:r>
        <w:rPr>
          <w:rFonts w:ascii="Calibri" w:cs="Calibri" w:eastAsia="Calibri" w:hAnsi="Calibri"/>
          <w:sz w:val="22"/>
          <w:szCs w:val="22"/>
        </w:rPr>
        <w:t xml:space="preserve">BATCH_3NF (batch_id, manufacture_date, batch_status, drug_id, manufacturer_id)</w:t>
      </w:r>
    </w:p>
    <w:p>
      <w:pPr>
        <w:pStyle w:val="ListParagraph"/>
        <w:numPr>
          <w:ilvl w:val="0"/>
          <w:numId w:val="2"/>
        </w:numPr>
        <w:spacing w:after="100" w:line="276"/>
      </w:pPr>
      <w:r>
        <w:rPr>
          <w:rFonts w:ascii="Calibri" w:cs="Calibri" w:eastAsia="Calibri" w:hAnsi="Calibri"/>
          <w:sz w:val="22"/>
          <w:szCs w:val="22"/>
        </w:rPr>
        <w:t xml:space="preserve">DRUG (drug_id, drug_name, strength, dosage_form, description)</w:t>
      </w:r>
    </w:p>
    <w:p>
      <w:pPr>
        <w:pStyle w:val="ListParagraph"/>
        <w:numPr>
          <w:ilvl w:val="0"/>
          <w:numId w:val="2"/>
        </w:numPr>
        <w:spacing w:after="100" w:line="276"/>
      </w:pPr>
      <w:r>
        <w:rPr>
          <w:rFonts w:ascii="Calibri" w:cs="Calibri" w:eastAsia="Calibri" w:hAnsi="Calibri"/>
          <w:sz w:val="22"/>
          <w:szCs w:val="22"/>
        </w:rPr>
        <w:t xml:space="preserve">MANUFACTURER (manufacturer_id / party_id, manufacturing_license_no)</w:t>
      </w:r>
    </w:p>
    <w:p>
      <w:pPr>
        <w:pStyle w:val="ListParagraph"/>
        <w:numPr>
          <w:ilvl w:val="0"/>
          <w:numId w:val="2"/>
        </w:numPr>
        <w:spacing w:after="100" w:line="276"/>
      </w:pPr>
      <w:r>
        <w:rPr>
          <w:rFonts w:ascii="Calibri" w:cs="Calibri" w:eastAsia="Calibri" w:hAnsi="Calibri"/>
          <w:sz w:val="22"/>
          <w:szCs w:val="22"/>
        </w:rPr>
        <w:t xml:space="preserve">QUALITY_TEST_2NF is unaffected — it was already free of transitive dependencies.</w:t>
      </w:r>
    </w:p>
    <w:p>
      <w:pPr>
        <w:spacing w:after="160" w:line="276"/>
      </w:pPr>
      <w:r>
        <w:rPr>
          <w:rFonts w:ascii="Calibri" w:cs="Calibri" w:eastAsia="Calibri" w:hAnsi="Calibri"/>
          <w:sz w:val="22"/>
          <w:szCs w:val="22"/>
        </w:rPr>
        <w:t xml:space="preserve">All four relations are now in 3NF.</w:t>
      </w:r>
    </w:p>
    <w:p>
      <w:pPr>
        <w:pStyle w:val="Heading2"/>
        <w:spacing w:after="120" w:before="280"/>
      </w:pPr>
      <w:r>
        <w:t xml:space="preserve">8.5 Boyce–Codd Normal Form (BCNF)</w:t>
      </w:r>
    </w:p>
    <w:p>
      <w:pPr>
        <w:spacing w:after="160" w:line="276"/>
      </w:pPr>
      <w:r>
        <w:rPr>
          <w:rFonts w:ascii="Calibri" w:cs="Calibri" w:eastAsia="Calibri" w:hAnsi="Calibri"/>
          <w:sz w:val="22"/>
          <w:szCs w:val="22"/>
        </w:rPr>
        <w:t xml:space="preserve">Rule: 3NF, and for every non-trivial functional dependency X → Y, X must be a superkey (i.e. every determinant must be a candidate key).</w:t>
      </w:r>
    </w:p>
    <w:p>
      <w:pPr>
        <w:spacing w:after="160" w:line="276"/>
      </w:pPr>
      <w:r>
        <w:rPr>
          <w:rFonts w:ascii="Calibri" w:cs="Calibri" w:eastAsia="Calibri" w:hAnsi="Calibri"/>
          <w:sz w:val="22"/>
          <w:szCs w:val="22"/>
        </w:rPr>
        <w:t xml:space="preserve">Check: in BATCH_3NF the only determinant is batch_id, which is the key — satisfied. In DRUG the only determinant is drug_id, the key — satisfied. In MANUFACTURER the determinant is manufacturer_id, the key — satisfied. In QUALITY_TEST_2NF the only determinant is (batch_id, test_id), the key — satisfied. No relation has a second, non-key determinant, so all four relations are already in BCNF — no further decomposition is needed.</w:t>
      </w:r>
    </w:p>
    <w:p>
      <w:pPr>
        <w:spacing w:after="160" w:line="276"/>
      </w:pPr>
      <w:r>
        <w:rPr>
          <w:rFonts w:ascii="Calibri" w:cs="Calibri" w:eastAsia="Calibri" w:hAnsi="Calibri"/>
          <w:sz w:val="22"/>
          <w:szCs w:val="22"/>
        </w:rPr>
        <w:t xml:space="preserve">This is exactly the BATCH / DRUG / MANUFACTURER / QUALITY_TEST split already present in Section 6, confirming that the direct EER-to-relational mapping produced BCNF relations from the outset — the walk-through above simply makes that guarantee explicit and shows the anomalies it avoids.</w:t>
      </w:r>
    </w:p>
    <w:p>
      <w:pPr>
        <w:pStyle w:val="Heading1"/>
        <w:spacing w:after="160" w:before="360"/>
      </w:pPr>
      <w:r>
        <w:t xml:space="preserve">9. BCNF Verification of the Final Schema</w:t>
      </w:r>
    </w:p>
    <w:p>
      <w:pPr>
        <w:spacing w:after="160" w:line="276"/>
      </w:pPr>
      <w:r>
        <w:rPr>
          <w:rFonts w:ascii="Calibri" w:cs="Calibri" w:eastAsia="Calibri" w:hAnsi="Calibri"/>
          <w:sz w:val="22"/>
          <w:szCs w:val="22"/>
        </w:rPr>
        <w:t xml:space="preserve">For every relation in Section 6, the only determinants are (one or more of) its candidate keys, so every relation is in BCNF.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300"/>
        <w:gridCol w:w="1600"/>
      </w:tblGrid>
      <w:tr>
        <w:trPr>
          <w:cantSplit/>
          <w:tblHeader/>
        </w:trPr>
        <w:tc>
          <w:tcPr>
            <w:tcW w:type="dxa" w:w="19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Relation</w:t>
            </w:r>
          </w:p>
        </w:tc>
        <w:tc>
          <w:tcPr>
            <w:tcW w:type="dxa" w:w="29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Candidate Key(s)</w:t>
            </w:r>
          </w:p>
        </w:tc>
        <w:tc>
          <w:tcPr>
            <w:tcW w:type="dxa" w:w="33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Determinant Check</w:t>
            </w:r>
          </w:p>
        </w:tc>
        <w:tc>
          <w:tcPr>
            <w:tcW w:type="dxa" w:w="1600"/>
            <w:shd w:fill="2F5496" w:color="auto"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Highest NF</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w:t>
            </w:r>
          </w:p>
        </w:tc>
        <w:tc>
          <w:tcPr>
            <w:tcW w:type="dxa" w:w="3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only</w:t>
            </w:r>
          </w:p>
        </w:tc>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MANUFACTURER</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(also manufacturing_license_no)</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both determinants are keys</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DISTRIBUTOR</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(also distributor_license_no)</w:t>
            </w:r>
          </w:p>
        </w:tc>
        <w:tc>
          <w:tcPr>
            <w:tcW w:type="dxa" w:w="3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both determinants are keys</w:t>
            </w:r>
          </w:p>
        </w:tc>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PHARMACY</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(also pharmacy_license_no)</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both determinants are keys</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REGULATOR</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party_id (also regulator_code)</w:t>
            </w:r>
          </w:p>
        </w:tc>
        <w:tc>
          <w:tcPr>
            <w:tcW w:type="dxa" w:w="3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both determinants are keys</w:t>
            </w:r>
          </w:p>
        </w:tc>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drug_id</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drug_id only</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batch_id</w:t>
            </w:r>
          </w:p>
        </w:tc>
        <w:tc>
          <w:tcPr>
            <w:tcW w:type="dxa" w:w="3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batch_id only</w:t>
            </w:r>
          </w:p>
        </w:tc>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QUALITY_TEST</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test_id</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test_id only</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recall_id</w:t>
            </w:r>
          </w:p>
        </w:tc>
        <w:tc>
          <w:tcPr>
            <w:tcW w:type="dxa" w:w="3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recall_id only</w:t>
            </w:r>
          </w:p>
        </w:tc>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package_id (also qr_code)</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both determinants are keys</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SHIPMENT</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shipment_id</w:t>
            </w:r>
          </w:p>
        </w:tc>
        <w:tc>
          <w:tcPr>
            <w:tcW w:type="dxa" w:w="3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shipment_id only</w:t>
            </w:r>
          </w:p>
        </w:tc>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CONTAINS</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(package_id, shipment_id)</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non-key attributes</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r>
        <w:trPr>
          <w:cantSplit/>
        </w:trPr>
        <w:tc>
          <w:tcPr>
            <w:tcW w:type="dxa" w:w="1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DISPENSING</w:t>
            </w:r>
          </w:p>
        </w:tc>
        <w:tc>
          <w:tcPr>
            <w:tcW w:type="dxa" w:w="29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dispense_id</w:t>
            </w:r>
          </w:p>
        </w:tc>
        <w:tc>
          <w:tcPr>
            <w:tcW w:type="dxa" w:w="33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dispense_id only</w:t>
            </w:r>
          </w:p>
        </w:tc>
        <w:tc>
          <w:tcPr>
            <w:tcW w:type="dxa" w:w="1600"/>
            <w:shd w:fill="F2F5FA" w:color="auto"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BCNF</w:t>
            </w:r>
          </w:p>
        </w:tc>
      </w:tr>
    </w:tbl>
    <w:p>
      <w:pPr>
        <w:pStyle w:val="Heading1"/>
        <w:spacing w:after="160" w:before="360"/>
      </w:pPr>
      <w:r>
        <w:t xml:space="preserve">10. Conclusion</w:t>
      </w:r>
    </w:p>
    <w:p>
      <w:pPr>
        <w:spacing w:after="160" w:line="276"/>
      </w:pPr>
      <w:r>
        <w:rPr>
          <w:rFonts w:ascii="Calibri" w:cs="Calibri" w:eastAsia="Calibri" w:hAnsi="Calibri"/>
          <w:sz w:val="22"/>
          <w:szCs w:val="22"/>
        </w:rPr>
        <w:t xml:space="preserve">Thirteen relations were derived from the EER model: five come from the disjoint-total specialization of PARTY, seven are ordinary entity/relationship mappings, and one (CONTAINS) is a bridge table for the single M:N relationship in the design. Every relation's only functional-dependency determinants are its own candidate key(s), so the full schema satisfies BCNF, the strictest of the classical normal forms, with no further decomposition possible. The worked example in Section 8 additionally documents, step by step, the partial- and transitive-dependency anomalies that this design avoids.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F5496"/>
      <w:sz w:val="30"/>
      <w:szCs w:val="30"/>
    </w:rPr>
  </w:style>
  <w:style w:type="paragraph" w:styleId="Heading2">
    <w:name w:val="Heading 2"/>
    <w:basedOn w:val="Normal"/>
    <w:next w:val="Normal"/>
    <w:qFormat/>
    <w:pPr>
      <w:spacing w:after="120" w:before="28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2026-08-23T09:55:17.235Z</dcterms:created>
  <dcterms:modified xsi:type="dcterms:W3CDTF">2026-08-23T09:55:17.235Z</dcterms:modified>
</cp:coreProperties>
</file>

<file path=docProps/custom.xml><?xml version="1.0" encoding="utf-8"?>
<Properties xmlns="http://schemas.openxmlformats.org/officeDocument/2006/custom-properties" xmlns:vt="http://schemas.openxmlformats.org/officeDocument/2006/docPropsVTypes"/>
</file>