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7DC" w:rsidRDefault="006D5B34" w:rsidP="006D5B34">
      <w:pPr>
        <w:spacing w:line="240" w:lineRule="auto"/>
        <w:jc w:val="both"/>
      </w:pPr>
      <w:bookmarkStart w:id="0" w:name="_Hlk498437262"/>
      <w:r>
        <w:t xml:space="preserve">X. </w:t>
      </w:r>
      <w:r w:rsidR="002D6DE8">
        <w:t>Financial Aspects</w:t>
      </w:r>
    </w:p>
    <w:p w:rsidR="002D6DE8" w:rsidRDefault="002D6DE8" w:rsidP="006D5B34">
      <w:pPr>
        <w:spacing w:line="240" w:lineRule="auto"/>
        <w:jc w:val="both"/>
      </w:pPr>
      <w:r>
        <w:t xml:space="preserve">Over the past decade, the increase in the number of internet users and the advent of the Internet of Things (IoT) has led to the financial aspects of cyber security gaining importance. Cyberattacks and the related security measures have two primary financial aspects: the losses due to attacks and the cost incurred while implementing countermeasures. </w:t>
      </w:r>
    </w:p>
    <w:p w:rsidR="002D6DE8" w:rsidRDefault="002D6DE8" w:rsidP="006D5B34">
      <w:pPr>
        <w:spacing w:line="240" w:lineRule="auto"/>
        <w:jc w:val="both"/>
      </w:pPr>
      <w:r>
        <w:t>X.1 The Losses</w:t>
      </w:r>
    </w:p>
    <w:p w:rsidR="001A28F4" w:rsidRDefault="001A28F4" w:rsidP="006D5B34">
      <w:pPr>
        <w:spacing w:line="240" w:lineRule="auto"/>
        <w:jc w:val="both"/>
      </w:pPr>
      <w:r>
        <w:t>This section discusses the financial losses suffered by individuals, business outfits and companies through cybercrimes. The section will descri</w:t>
      </w:r>
      <w:r w:rsidR="008B768B">
        <w:t>be the Types and Quantity of scams in individual sections.</w:t>
      </w:r>
    </w:p>
    <w:p w:rsidR="001A28F4" w:rsidRDefault="001A28F4" w:rsidP="006D5B34">
      <w:pPr>
        <w:spacing w:line="240" w:lineRule="auto"/>
        <w:jc w:val="both"/>
      </w:pPr>
      <w:r>
        <w:t>X.1.1 Types</w:t>
      </w:r>
    </w:p>
    <w:p w:rsidR="000D484B" w:rsidRDefault="001A28F4" w:rsidP="006D5B34">
      <w:pPr>
        <w:spacing w:line="240" w:lineRule="auto"/>
        <w:jc w:val="both"/>
      </w:pPr>
      <w:r>
        <w:t>Most forms of modern cybercrimes involve stealing data, mainly personal account details, from both consumers and the institutions which store them, like banks and IT companies. Many scams are targeted towards individuals who are unaware which include not only children and the elderly, but also CEOs of companies and important government officials. The most common form is phishing in which the attacker tries to obtain sensitive information like usernames and passwords by posing as a trusted individual over electronic communication software, usually email.</w:t>
      </w:r>
      <w:r w:rsidR="000D484B">
        <w:t xml:space="preserve"> An example is given in Figure 1.</w:t>
      </w:r>
    </w:p>
    <w:p w:rsidR="000D484B" w:rsidRDefault="000D484B" w:rsidP="006D5B34">
      <w:pPr>
        <w:keepNext/>
        <w:spacing w:line="240" w:lineRule="auto"/>
        <w:jc w:val="both"/>
      </w:pPr>
      <w:r>
        <w:rPr>
          <w:noProof/>
        </w:rPr>
        <w:drawing>
          <wp:inline distT="0" distB="0" distL="0" distR="0" wp14:anchorId="39CF6528" wp14:editId="64688C71">
            <wp:extent cx="5731510" cy="2394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m.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rsidR="000D484B" w:rsidRDefault="000D484B" w:rsidP="006D5B34">
      <w:pPr>
        <w:pStyle w:val="Caption"/>
        <w:jc w:val="both"/>
        <w:rPr>
          <w:noProof/>
        </w:rPr>
      </w:pPr>
      <w:r>
        <w:t xml:space="preserve">Figure </w:t>
      </w:r>
      <w:r w:rsidR="00FB6814">
        <w:fldChar w:fldCharType="begin"/>
      </w:r>
      <w:r w:rsidR="00FB6814">
        <w:instrText xml:space="preserve"> SEQ Figure \* ARABIC </w:instrText>
      </w:r>
      <w:r w:rsidR="00FB6814">
        <w:fldChar w:fldCharType="separate"/>
      </w:r>
      <w:r w:rsidR="00834E8E">
        <w:rPr>
          <w:noProof/>
        </w:rPr>
        <w:t>1</w:t>
      </w:r>
      <w:r w:rsidR="00FB6814">
        <w:rPr>
          <w:noProof/>
        </w:rPr>
        <w:fldChar w:fldCharType="end"/>
      </w:r>
      <w:r>
        <w:t xml:space="preserve"> An example of a phishing email.</w:t>
      </w:r>
    </w:p>
    <w:p w:rsidR="002D6DE8" w:rsidRDefault="000D484B" w:rsidP="006D5B34">
      <w:pPr>
        <w:spacing w:line="240" w:lineRule="auto"/>
        <w:jc w:val="both"/>
      </w:pPr>
      <w:r>
        <w:t xml:space="preserve">Using the information obtained, the attacker is quite easily able to raid accounts and exploit credit cards. </w:t>
      </w:r>
    </w:p>
    <w:p w:rsidR="000D484B" w:rsidRDefault="000D484B" w:rsidP="006D5B34">
      <w:pPr>
        <w:spacing w:line="240" w:lineRule="auto"/>
        <w:jc w:val="both"/>
      </w:pPr>
      <w:r>
        <w:t>Recently, these attackers have become bolder and have tried to attack not only individuals with bank accounts, but also the banks themselves. [1].</w:t>
      </w:r>
    </w:p>
    <w:p w:rsidR="000D484B" w:rsidRDefault="000D484B" w:rsidP="006D5B34">
      <w:pPr>
        <w:spacing w:line="240" w:lineRule="auto"/>
        <w:jc w:val="both"/>
      </w:pPr>
      <w:r>
        <w:t>Another scam is termed as Business Email Compromise (BEC), involves scammers emailing employees</w:t>
      </w:r>
      <w:r w:rsidR="007D4B28">
        <w:t>, posing as the boss of the company and demanding transfers of large sums of money.</w:t>
      </w:r>
    </w:p>
    <w:p w:rsidR="007D4B28" w:rsidRDefault="007D4B28" w:rsidP="006D5B34">
      <w:pPr>
        <w:spacing w:line="240" w:lineRule="auto"/>
        <w:jc w:val="both"/>
      </w:pPr>
      <w:r>
        <w:t>Ransomware is also a widely used scamming software which was in the news recently for affecting many people across the globe. The software locks down the affected server and does not release the information until a ransom has been paid. According to</w:t>
      </w:r>
      <w:r w:rsidR="00184476">
        <w:t xml:space="preserve"> Internet Security Threat Report (Symantec, 2017, p8)</w:t>
      </w:r>
      <w:r>
        <w:t xml:space="preserve"> the average ransom amount increased from $294 in 2015 to $1077 in 2016, an increase of 266%. And, with 4,63,841 detection</w:t>
      </w:r>
      <w:r w:rsidR="00184476">
        <w:t>s</w:t>
      </w:r>
      <w:r>
        <w:t xml:space="preserve"> in 2016, that brings the total losses to nearly $50 crore</w:t>
      </w:r>
      <w:r w:rsidR="00184476">
        <w:t>.</w:t>
      </w:r>
    </w:p>
    <w:p w:rsidR="00184476" w:rsidRDefault="00184476" w:rsidP="006D5B34">
      <w:pPr>
        <w:spacing w:line="240" w:lineRule="auto"/>
        <w:jc w:val="both"/>
      </w:pPr>
      <w:r>
        <w:t>X.1.2 Quantity</w:t>
      </w:r>
    </w:p>
    <w:p w:rsidR="00184476" w:rsidRDefault="00184476" w:rsidP="006D5B34">
      <w:pPr>
        <w:spacing w:line="240" w:lineRule="auto"/>
        <w:jc w:val="both"/>
      </w:pPr>
      <w:r>
        <w:lastRenderedPageBreak/>
        <w:t xml:space="preserve">The average </w:t>
      </w:r>
      <w:r w:rsidR="00182F7B">
        <w:t xml:space="preserve">global </w:t>
      </w:r>
      <w:r>
        <w:t>annual cost of cybercrimes acquired from Cost of Cyber Crime Study (</w:t>
      </w:r>
      <w:proofErr w:type="spellStart"/>
      <w:r>
        <w:t>Ponemon</w:t>
      </w:r>
      <w:proofErr w:type="spellEnd"/>
      <w:r>
        <w:t xml:space="preserve"> Institute, 2017, p12) is given in the following graph:</w:t>
      </w:r>
    </w:p>
    <w:p w:rsidR="008B768B" w:rsidRDefault="00524ECF" w:rsidP="006D5B34">
      <w:pPr>
        <w:keepNext/>
        <w:spacing w:line="240" w:lineRule="auto"/>
        <w:jc w:val="both"/>
      </w:pPr>
      <w:r>
        <w:rPr>
          <w:noProof/>
        </w:rPr>
        <mc:AlternateContent>
          <mc:Choice Requires="wps">
            <w:drawing>
              <wp:anchor distT="0" distB="0" distL="114300" distR="114300" simplePos="0" relativeHeight="251660288" behindDoc="0" locked="0" layoutInCell="1" allowOverlap="1" wp14:anchorId="5AA86226" wp14:editId="08CA3C33">
                <wp:simplePos x="0" y="0"/>
                <wp:positionH relativeFrom="margin">
                  <wp:align>left</wp:align>
                </wp:positionH>
                <wp:positionV relativeFrom="paragraph">
                  <wp:posOffset>2068195</wp:posOffset>
                </wp:positionV>
                <wp:extent cx="3152775" cy="635"/>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rsidR="00524ECF" w:rsidRPr="0089152C" w:rsidRDefault="00524ECF" w:rsidP="00524ECF">
                            <w:pPr>
                              <w:pStyle w:val="Caption"/>
                              <w:rPr>
                                <w:noProof/>
                              </w:rPr>
                            </w:pPr>
                            <w:r>
                              <w:t xml:space="preserve">Figure </w:t>
                            </w:r>
                            <w:fldSimple w:instr=" SEQ Figure \* ARABIC ">
                              <w:r w:rsidR="00834E8E">
                                <w:rPr>
                                  <w:noProof/>
                                </w:rPr>
                                <w:t>2</w:t>
                              </w:r>
                            </w:fldSimple>
                            <w:r>
                              <w:t xml:space="preserve"> Cost of Cybersecurity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86226" id="_x0000_t202" coordsize="21600,21600" o:spt="202" path="m,l,21600r21600,l21600,xe">
                <v:stroke joinstyle="miter"/>
                <v:path gradientshapeok="t" o:connecttype="rect"/>
              </v:shapetype>
              <v:shape id="Text Box 3" o:spid="_x0000_s1026" type="#_x0000_t202" style="position:absolute;left:0;text-align:left;margin-left:0;margin-top:162.85pt;width:248.2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nE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KzyXx6ezvnTFLtZjZP&#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" stroked="f">
                <v:textbox style="mso-fit-shape-to-text:t" inset="0,0,0,0">
                  <w:txbxContent>
                    <w:p w:rsidR="00524ECF" w:rsidRPr="0089152C" w:rsidRDefault="00524ECF" w:rsidP="00524ECF">
                      <w:pPr>
                        <w:pStyle w:val="Caption"/>
                        <w:rPr>
                          <w:noProof/>
                        </w:rPr>
                      </w:pPr>
                      <w:r>
                        <w:t xml:space="preserve">Figure </w:t>
                      </w:r>
                      <w:fldSimple w:instr=" SEQ Figure \* ARABIC ">
                        <w:r w:rsidR="00834E8E">
                          <w:rPr>
                            <w:noProof/>
                          </w:rPr>
                          <w:t>2</w:t>
                        </w:r>
                      </w:fldSimple>
                      <w:r>
                        <w:t xml:space="preserve"> Cost of Cybersecurity</w:t>
                      </w:r>
                    </w:p>
                  </w:txbxContent>
                </v:textbox>
                <w10:wrap type="square" anchorx="margin"/>
              </v:shape>
            </w:pict>
          </mc:Fallback>
        </mc:AlternateContent>
      </w:r>
      <w:r w:rsidR="0018447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3152775" cy="2095500"/>
            <wp:effectExtent l="0" t="0" r="9525"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t>From the graph, it can be observed that in the recent years, the average annual expenditure has seen a significant increase. While the cost of cybercrimes had been relatively stagnant in the period 2013-15, the sudden increase in internet accessibility and the shift of developing countries like India towards online, cash-less transactions could be the reason for the sudden change in 2015-16. Crimes of a larger magnitude, like attempting to steal money directly from banks can also be a reason for the obs</w:t>
      </w:r>
      <w:r w:rsidR="008B768B">
        <w:t xml:space="preserve">erved rise, especially in 2017. </w:t>
      </w:r>
    </w:p>
    <w:p w:rsidR="008C2ABC" w:rsidRDefault="008B768B" w:rsidP="006D5B34">
      <w:pPr>
        <w:keepNext/>
        <w:spacing w:line="240" w:lineRule="auto"/>
        <w:jc w:val="both"/>
      </w:pPr>
      <w:r>
        <w:t>The loss to an individual, can vary widely, depending on the type of scam, access granted to scammers, vigilance and pre-existing security measures.</w:t>
      </w:r>
      <w:r w:rsidR="008C2ABC">
        <w:t xml:space="preserve"> While implementing security software like antiviruses is a solution, they are not always easily accessible, cheap or effective.</w:t>
      </w:r>
    </w:p>
    <w:p w:rsidR="008C2ABC" w:rsidRDefault="008C2ABC" w:rsidP="006D5B34">
      <w:pPr>
        <w:keepNext/>
        <w:spacing w:line="240" w:lineRule="auto"/>
        <w:jc w:val="both"/>
      </w:pPr>
    </w:p>
    <w:p w:rsidR="008C2ABC" w:rsidRDefault="008C2ABC" w:rsidP="006D5B34">
      <w:pPr>
        <w:keepNext/>
        <w:spacing w:line="240" w:lineRule="auto"/>
        <w:jc w:val="both"/>
      </w:pPr>
      <w:r>
        <w:t>X.2 Costs Incurred</w:t>
      </w:r>
    </w:p>
    <w:p w:rsidR="00834E8E" w:rsidRDefault="00834E8E" w:rsidP="006D5B34">
      <w:pPr>
        <w:keepNext/>
        <w:spacing w:line="240" w:lineRule="auto"/>
        <w:jc w:val="both"/>
      </w:pPr>
      <w:r>
        <w:rPr>
          <w:noProof/>
        </w:rPr>
        <w:drawing>
          <wp:anchor distT="0" distB="0" distL="114300" distR="114300" simplePos="0" relativeHeight="251661312" behindDoc="0" locked="0" layoutInCell="1" allowOverlap="1">
            <wp:simplePos x="0" y="0"/>
            <wp:positionH relativeFrom="column">
              <wp:posOffset>1666875</wp:posOffset>
            </wp:positionH>
            <wp:positionV relativeFrom="paragraph">
              <wp:posOffset>636905</wp:posOffset>
            </wp:positionV>
            <wp:extent cx="4667250" cy="2819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355488">
        <w:t>Many users consider</w:t>
      </w:r>
      <w:r w:rsidR="007108DD">
        <w:t xml:space="preserve"> </w:t>
      </w:r>
      <w:r w:rsidR="00355488">
        <w:t xml:space="preserve">a paid antivirus software as an unnecessary investment. Most people owning an antivirus software have the free or trial version, which does not include all features.  </w:t>
      </w:r>
      <w:r>
        <w:t xml:space="preserve">Figure 3 shows the non-discounted prices of five popular antivirus software used in India. The prices have been obtained from the respective websites and have been scaled down (when required) to the cost of buying the software for one device for a year-long license.  </w:t>
      </w:r>
    </w:p>
    <w:p w:rsidR="00834E8E" w:rsidRDefault="00834E8E" w:rsidP="006D5B34">
      <w:pPr>
        <w:keepNext/>
        <w:spacing w:line="240" w:lineRule="auto"/>
        <w:jc w:val="both"/>
      </w:pPr>
      <w:r>
        <w:t xml:space="preserve">From Figure 3, we can see that Kaspersky, Norton and McAfee market the same software for </w:t>
      </w:r>
      <w:r w:rsidR="00E4256D">
        <w:t xml:space="preserve">both PCs and mobile devices. This can be an advantage for those requiring protection for </w:t>
      </w:r>
      <w:proofErr w:type="gramStart"/>
      <w:r w:rsidR="00E4256D">
        <w:t>a large number devices</w:t>
      </w:r>
      <w:proofErr w:type="gramEnd"/>
      <w:r w:rsidR="00E4256D">
        <w:t xml:space="preserve"> as it is more convenient to buy a single software for all devices. However, Bitdefender and </w:t>
      </w:r>
      <w:proofErr w:type="spellStart"/>
      <w:r w:rsidR="00E4256D">
        <w:t>QuickHeal</w:t>
      </w:r>
      <w:proofErr w:type="spellEnd"/>
      <w:r w:rsidR="00E4256D">
        <w:t xml:space="preserve"> market separate software and are thus able to reduce the price of their antivirus for mobile phones. Apart from Kaspersky, who have lower prices for both interfaces, when a company markets a single software, the price is between that of the </w:t>
      </w:r>
      <w:proofErr w:type="gramStart"/>
      <w:r w:rsidR="002E0EE3">
        <w:t xml:space="preserve">two </w:t>
      </w:r>
      <w:r w:rsidR="00E4256D">
        <w:t>separate</w:t>
      </w:r>
      <w:proofErr w:type="gramEnd"/>
      <w:r w:rsidR="00E4256D">
        <w:t xml:space="preserve"> software.</w:t>
      </w:r>
    </w:p>
    <w:p w:rsidR="006D5B34" w:rsidRDefault="006D5B34" w:rsidP="006D5B34">
      <w:pPr>
        <w:keepNext/>
        <w:spacing w:line="240" w:lineRule="auto"/>
        <w:jc w:val="both"/>
      </w:pPr>
      <w:r>
        <w:t xml:space="preserve">McAfee provides a single software for all types of devices. It is cheaper than most of the comparable PC antivirus software available in the market. Although the software is costlier than most mobile </w:t>
      </w:r>
      <w:r>
        <w:lastRenderedPageBreak/>
        <w:t>protection software, it is a widely trusted software in India due to its easy to use interface, consumer-friendly offers and large vulnerability coverage.</w:t>
      </w:r>
    </w:p>
    <w:p w:rsidR="00834E8E" w:rsidRPr="00834E8E" w:rsidRDefault="00834E8E" w:rsidP="006D5B34">
      <w:pPr>
        <w:spacing w:line="240" w:lineRule="auto"/>
      </w:pPr>
      <w:bookmarkStart w:id="1" w:name="_GoBack"/>
      <w:bookmarkEnd w:id="0"/>
      <w:bookmarkEnd w:id="1"/>
    </w:p>
    <w:sectPr w:rsidR="00834E8E" w:rsidRPr="00834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DC"/>
    <w:rsid w:val="000027DC"/>
    <w:rsid w:val="000D484B"/>
    <w:rsid w:val="000F3F6E"/>
    <w:rsid w:val="00182F7B"/>
    <w:rsid w:val="00184476"/>
    <w:rsid w:val="001A28F4"/>
    <w:rsid w:val="002D6DE8"/>
    <w:rsid w:val="002E0EE3"/>
    <w:rsid w:val="00355488"/>
    <w:rsid w:val="00492235"/>
    <w:rsid w:val="00524ECF"/>
    <w:rsid w:val="006D5B34"/>
    <w:rsid w:val="007108DD"/>
    <w:rsid w:val="007D4B28"/>
    <w:rsid w:val="00834E8E"/>
    <w:rsid w:val="00843A64"/>
    <w:rsid w:val="008B768B"/>
    <w:rsid w:val="008C2ABC"/>
    <w:rsid w:val="00B46906"/>
    <w:rsid w:val="00E4256D"/>
    <w:rsid w:val="00FB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5C86"/>
  <w15:chartTrackingRefBased/>
  <w15:docId w15:val="{1AED227F-264B-4A53-8A90-A2EE1B30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D4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Cost of Cybercrimes</a:t>
            </a:r>
          </a:p>
        </c:rich>
      </c:tx>
      <c:layout>
        <c:manualLayout>
          <c:xMode val="edge"/>
          <c:yMode val="edge"/>
          <c:x val="0.31581606679829677"/>
          <c:y val="3.59308041040324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2013</c:v>
                </c:pt>
                <c:pt idx="1">
                  <c:v>2014</c:v>
                </c:pt>
                <c:pt idx="2">
                  <c:v>2015</c:v>
                </c:pt>
                <c:pt idx="3">
                  <c:v>2016</c:v>
                </c:pt>
                <c:pt idx="4">
                  <c:v>2017</c:v>
                </c:pt>
              </c:numCache>
            </c:numRef>
          </c:cat>
          <c:val>
            <c:numRef>
              <c:f>Sheet1!$B$2:$B$6</c:f>
              <c:numCache>
                <c:formatCode>General</c:formatCode>
                <c:ptCount val="5"/>
                <c:pt idx="0">
                  <c:v>7.2</c:v>
                </c:pt>
                <c:pt idx="1">
                  <c:v>7.6</c:v>
                </c:pt>
                <c:pt idx="2">
                  <c:v>7.7</c:v>
                </c:pt>
                <c:pt idx="3">
                  <c:v>9.5</c:v>
                </c:pt>
                <c:pt idx="4">
                  <c:v>11.7</c:v>
                </c:pt>
              </c:numCache>
            </c:numRef>
          </c:val>
          <c:smooth val="0"/>
          <c:extLst>
            <c:ext xmlns:c16="http://schemas.microsoft.com/office/drawing/2014/chart" uri="{C3380CC4-5D6E-409C-BE32-E72D297353CC}">
              <c16:uniqueId val="{00000000-C1B2-4F04-8FF0-0B21E2CA85B1}"/>
            </c:ext>
          </c:extLst>
        </c:ser>
        <c:ser>
          <c:idx val="1"/>
          <c:order val="1"/>
          <c:tx>
            <c:strRef>
              <c:f>Sheet1!$C$1</c:f>
              <c:strCache>
                <c:ptCount val="1"/>
                <c:pt idx="0">
                  <c:v>Column1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2013</c:v>
                </c:pt>
                <c:pt idx="1">
                  <c:v>2014</c:v>
                </c:pt>
                <c:pt idx="2">
                  <c:v>2015</c:v>
                </c:pt>
                <c:pt idx="3">
                  <c:v>2016</c:v>
                </c:pt>
                <c:pt idx="4">
                  <c:v>2017</c:v>
                </c:pt>
              </c:numCache>
            </c:numRef>
          </c:cat>
          <c:val>
            <c:numRef>
              <c:f>Sheet1!$C$2:$C$6</c:f>
              <c:numCache>
                <c:formatCode>General</c:formatCode>
                <c:ptCount val="5"/>
              </c:numCache>
            </c:numRef>
          </c:val>
          <c:smooth val="0"/>
          <c:extLst>
            <c:ext xmlns:c16="http://schemas.microsoft.com/office/drawing/2014/chart" uri="{C3380CC4-5D6E-409C-BE32-E72D297353CC}">
              <c16:uniqueId val="{00000001-C1B2-4F04-8FF0-0B21E2CA85B1}"/>
            </c:ext>
          </c:extLst>
        </c:ser>
        <c:ser>
          <c:idx val="2"/>
          <c:order val="2"/>
          <c:tx>
            <c:strRef>
              <c:f>Sheet1!$D$1</c:f>
              <c:strCache>
                <c:ptCount val="1"/>
                <c:pt idx="0">
                  <c:v>Column2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2013</c:v>
                </c:pt>
                <c:pt idx="1">
                  <c:v>2014</c:v>
                </c:pt>
                <c:pt idx="2">
                  <c:v>2015</c:v>
                </c:pt>
                <c:pt idx="3">
                  <c:v>2016</c:v>
                </c:pt>
                <c:pt idx="4">
                  <c:v>2017</c:v>
                </c:pt>
              </c:numCache>
            </c:numRef>
          </c:cat>
          <c:val>
            <c:numRef>
              <c:f>Sheet1!$D$2:$D$6</c:f>
              <c:numCache>
                <c:formatCode>General</c:formatCode>
                <c:ptCount val="5"/>
              </c:numCache>
            </c:numRef>
          </c:val>
          <c:smooth val="0"/>
          <c:extLst>
            <c:ext xmlns:c16="http://schemas.microsoft.com/office/drawing/2014/chart" uri="{C3380CC4-5D6E-409C-BE32-E72D297353CC}">
              <c16:uniqueId val="{00000002-C1B2-4F04-8FF0-0B21E2CA85B1}"/>
            </c:ext>
          </c:extLst>
        </c:ser>
        <c:dLbls>
          <c:dLblPos val="t"/>
          <c:showLegendKey val="0"/>
          <c:showVal val="1"/>
          <c:showCatName val="0"/>
          <c:showSerName val="0"/>
          <c:showPercent val="0"/>
          <c:showBubbleSize val="0"/>
        </c:dLbls>
        <c:smooth val="0"/>
        <c:axId val="161495576"/>
        <c:axId val="161496232"/>
      </c:lineChart>
      <c:catAx>
        <c:axId val="16149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96232"/>
        <c:crosses val="autoZero"/>
        <c:auto val="1"/>
        <c:lblAlgn val="ctr"/>
        <c:lblOffset val="100"/>
        <c:noMultiLvlLbl val="0"/>
      </c:catAx>
      <c:valAx>
        <c:axId val="161496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Avg. Annual Cost</a:t>
                </a:r>
                <a:r>
                  <a:rPr lang="en-IN" baseline="0"/>
                  <a:t> (in million USD)</a:t>
                </a:r>
                <a:r>
                  <a:rPr lang="en-IN"/>
                  <a:t> </a:t>
                </a:r>
              </a:p>
            </c:rich>
          </c:tx>
          <c:layout>
            <c:manualLayout>
              <c:xMode val="edge"/>
              <c:yMode val="edge"/>
              <c:x val="4.4310171198388724E-2"/>
              <c:y val="0.139939393939393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95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Cost</a:t>
            </a:r>
            <a:r>
              <a:rPr lang="en-IN" baseline="0"/>
              <a:t> of Antivirus Software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cat>
            <c:strRef>
              <c:f>Sheet1!$A$2:$A$6</c:f>
              <c:strCache>
                <c:ptCount val="5"/>
                <c:pt idx="0">
                  <c:v>Kaspersky</c:v>
                </c:pt>
                <c:pt idx="1">
                  <c:v>Norton </c:v>
                </c:pt>
                <c:pt idx="2">
                  <c:v>Bitdefender</c:v>
                </c:pt>
                <c:pt idx="3">
                  <c:v>McAfee</c:v>
                </c:pt>
                <c:pt idx="4">
                  <c:v>QuickHeal</c:v>
                </c:pt>
              </c:strCache>
            </c:strRef>
          </c:cat>
          <c:val>
            <c:numRef>
              <c:f>Sheet1!$B$2:$B$6</c:f>
              <c:numCache>
                <c:formatCode>General</c:formatCode>
                <c:ptCount val="5"/>
                <c:pt idx="0">
                  <c:v>599</c:v>
                </c:pt>
                <c:pt idx="1">
                  <c:v>1399</c:v>
                </c:pt>
                <c:pt idx="2">
                  <c:v>1799</c:v>
                </c:pt>
                <c:pt idx="3">
                  <c:v>1299</c:v>
                </c:pt>
                <c:pt idx="4">
                  <c:v>1949</c:v>
                </c:pt>
              </c:numCache>
            </c:numRef>
          </c:val>
          <c:extLst>
            <c:ext xmlns:c16="http://schemas.microsoft.com/office/drawing/2014/chart" uri="{C3380CC4-5D6E-409C-BE32-E72D297353CC}">
              <c16:uniqueId val="{00000000-B5CA-4B72-BA6C-E87FDDE830FC}"/>
            </c:ext>
          </c:extLst>
        </c:ser>
        <c:ser>
          <c:idx val="1"/>
          <c:order val="1"/>
          <c:tx>
            <c:strRef>
              <c:f>Sheet1!$C$1</c:f>
              <c:strCache>
                <c:ptCount val="1"/>
                <c:pt idx="0">
                  <c:v>Mobile/Tablet</c:v>
                </c:pt>
              </c:strCache>
            </c:strRef>
          </c:tx>
          <c:spPr>
            <a:solidFill>
              <a:schemeClr val="accent2"/>
            </a:solidFill>
            <a:ln>
              <a:noFill/>
            </a:ln>
            <a:effectLst/>
          </c:spPr>
          <c:invertIfNegative val="0"/>
          <c:cat>
            <c:strRef>
              <c:f>Sheet1!$A$2:$A$6</c:f>
              <c:strCache>
                <c:ptCount val="5"/>
                <c:pt idx="0">
                  <c:v>Kaspersky</c:v>
                </c:pt>
                <c:pt idx="1">
                  <c:v>Norton </c:v>
                </c:pt>
                <c:pt idx="2">
                  <c:v>Bitdefender</c:v>
                </c:pt>
                <c:pt idx="3">
                  <c:v>McAfee</c:v>
                </c:pt>
                <c:pt idx="4">
                  <c:v>QuickHeal</c:v>
                </c:pt>
              </c:strCache>
            </c:strRef>
          </c:cat>
          <c:val>
            <c:numRef>
              <c:f>Sheet1!$C$2:$C$6</c:f>
              <c:numCache>
                <c:formatCode>General</c:formatCode>
                <c:ptCount val="5"/>
                <c:pt idx="0">
                  <c:v>599</c:v>
                </c:pt>
                <c:pt idx="1">
                  <c:v>1399</c:v>
                </c:pt>
                <c:pt idx="2">
                  <c:v>599</c:v>
                </c:pt>
                <c:pt idx="3">
                  <c:v>1299</c:v>
                </c:pt>
                <c:pt idx="4">
                  <c:v>449</c:v>
                </c:pt>
              </c:numCache>
            </c:numRef>
          </c:val>
          <c:extLst>
            <c:ext xmlns:c16="http://schemas.microsoft.com/office/drawing/2014/chart" uri="{C3380CC4-5D6E-409C-BE32-E72D297353CC}">
              <c16:uniqueId val="{00000001-B5CA-4B72-BA6C-E87FDDE830FC}"/>
            </c:ext>
          </c:extLst>
        </c:ser>
        <c:dLbls>
          <c:showLegendKey val="0"/>
          <c:showVal val="0"/>
          <c:showCatName val="0"/>
          <c:showSerName val="0"/>
          <c:showPercent val="0"/>
          <c:showBubbleSize val="0"/>
        </c:dLbls>
        <c:gapWidth val="219"/>
        <c:overlap val="-27"/>
        <c:axId val="348148568"/>
        <c:axId val="348148896"/>
      </c:barChart>
      <c:catAx>
        <c:axId val="348148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Company</a:t>
                </a:r>
              </a:p>
            </c:rich>
          </c:tx>
          <c:layout>
            <c:manualLayout>
              <c:xMode val="edge"/>
              <c:yMode val="edge"/>
              <c:x val="0.46634733158355207"/>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148896"/>
        <c:crosses val="autoZero"/>
        <c:auto val="1"/>
        <c:lblAlgn val="ctr"/>
        <c:lblOffset val="100"/>
        <c:noMultiLvlLbl val="0"/>
      </c:catAx>
      <c:valAx>
        <c:axId val="34814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Cost in</a:t>
                </a:r>
                <a:r>
                  <a:rPr lang="en-IN" baseline="0"/>
                  <a:t> rupees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148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Vasudevan</dc:creator>
  <cp:keywords/>
  <dc:description/>
  <cp:lastModifiedBy>Aditya Vasudevan</cp:lastModifiedBy>
  <cp:revision>5</cp:revision>
  <dcterms:created xsi:type="dcterms:W3CDTF">2017-11-13T01:37:00Z</dcterms:created>
  <dcterms:modified xsi:type="dcterms:W3CDTF">2017-11-14T10:33:00Z</dcterms:modified>
</cp:coreProperties>
</file>