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rial" w:hAnsi="Arial"/>
          <w:b/>
          <w:color w:val="057A55"/>
          <w:sz w:val="22"/>
        </w:rPr>
        <w:t>LAPORAN AUDIT &amp; HASIL EKSEKUSI REMEDIASI PRESISI</w:t>
      </w:r>
    </w:p>
    <w:p>
      <w:pPr>
        <w:spacing w:after="120"/>
      </w:pPr>
      <w:r>
        <w:rPr>
          <w:rFonts w:ascii="Arial" w:hAnsi="Arial"/>
          <w:b/>
          <w:color w:val="182B49"/>
          <w:sz w:val="48"/>
        </w:rPr>
        <w:t>Kesiapan Peluncuran Publik: Read2Buy.com</w:t>
      </w:r>
    </w:p>
    <w:p>
      <w:pPr>
        <w:spacing w:after="360"/>
      </w:pPr>
      <w:r>
        <w:rPr>
          <w:rFonts w:ascii="Arial" w:hAnsi="Arial"/>
          <w:i/>
          <w:color w:val="282828"/>
          <w:sz w:val="24"/>
        </w:rPr>
        <w:t>Laporan Penyelidikan Lengkap dan Verifikasi Keberhasilan Remediasi 8 Dimensi (Struktur, Logika, Workflow, Kesiapan, Kesehatan, Efektifitas, Kebersihan, Keamanan) Menuju Publikasi Produksi</w:t>
      </w:r>
    </w:p>
    <w:tbl>
      <w:tblPr>
        <w:tblW w:type="auto" w:w="0"/>
        <w:jc w:val="center"/>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968"/>
        <w:gridCol w:w="4968"/>
      </w:tblGrid>
      <w:tr>
        <w:tc>
          <w:tcPr>
            <w:tcW w:type="dxa" w:w="3168"/>
            <w:shd w:fill="F8FAFC"/>
            <w:tcMar>
              <w:top w:w="80" w:type="dxa"/>
              <w:bottom w:w="80" w:type="dxa"/>
              <w:left w:w="120" w:type="dxa"/>
              <w:right w:w="120" w:type="dxa"/>
            </w:tcMar>
          </w:tcPr>
          <w:p>
            <w:r>
              <w:rPr>
                <w:rFonts w:ascii="Arial" w:hAnsi="Arial"/>
                <w:b/>
                <w:color w:val="282828"/>
                <w:sz w:val="19"/>
              </w:rPr>
              <w:t>Target Aplikasi</w:t>
            </w:r>
          </w:p>
        </w:tc>
        <w:tc>
          <w:tcPr>
            <w:tcW w:type="dxa" w:w="6912"/>
            <w:shd w:fill="FFFFFF"/>
            <w:tcMar>
              <w:top w:w="80" w:type="dxa"/>
              <w:bottom w:w="80" w:type="dxa"/>
              <w:left w:w="120" w:type="dxa"/>
              <w:right w:w="120" w:type="dxa"/>
            </w:tcMar>
          </w:tcPr>
          <w:p>
            <w:r>
              <w:rPr>
                <w:rFonts w:ascii="Arial" w:hAnsi="Arial"/>
                <w:color w:val="282828"/>
                <w:sz w:val="19"/>
              </w:rPr>
              <w:t>Read2Buy (Laravel 13.39.0 / PHP 8.4 / Filament 5.11 / SQLite / Nginx)</w:t>
            </w:r>
          </w:p>
        </w:tc>
      </w:tr>
      <w:tr>
        <w:tc>
          <w:tcPr>
            <w:tcW w:type="dxa" w:w="3168"/>
            <w:shd w:fill="F8FAFC"/>
            <w:tcMar>
              <w:top w:w="80" w:type="dxa"/>
              <w:bottom w:w="80" w:type="dxa"/>
              <w:left w:w="120" w:type="dxa"/>
              <w:right w:w="120" w:type="dxa"/>
            </w:tcMar>
          </w:tcPr>
          <w:p>
            <w:r>
              <w:rPr>
                <w:rFonts w:ascii="Arial" w:hAnsi="Arial"/>
                <w:b/>
                <w:color w:val="282828"/>
                <w:sz w:val="19"/>
              </w:rPr>
              <w:t>Repositori Git</w:t>
            </w:r>
          </w:p>
        </w:tc>
        <w:tc>
          <w:tcPr>
            <w:tcW w:type="dxa" w:w="6912"/>
            <w:shd w:fill="FFFFFF"/>
            <w:tcMar>
              <w:top w:w="80" w:type="dxa"/>
              <w:bottom w:w="80" w:type="dxa"/>
              <w:left w:w="120" w:type="dxa"/>
              <w:right w:w="120" w:type="dxa"/>
            </w:tcMar>
          </w:tcPr>
          <w:p>
            <w:r>
              <w:rPr>
                <w:rFonts w:ascii="Arial" w:hAnsi="Arial"/>
                <w:color w:val="282828"/>
                <w:sz w:val="19"/>
              </w:rPr>
              <w:t>https://github.com/adiwitnos/read2buy.git (Branch: main)</w:t>
            </w:r>
          </w:p>
        </w:tc>
      </w:tr>
      <w:tr>
        <w:tc>
          <w:tcPr>
            <w:tcW w:type="dxa" w:w="3168"/>
            <w:shd w:fill="F8FAFC"/>
            <w:tcMar>
              <w:top w:w="80" w:type="dxa"/>
              <w:bottom w:w="80" w:type="dxa"/>
              <w:left w:w="120" w:type="dxa"/>
              <w:right w:w="120" w:type="dxa"/>
            </w:tcMar>
          </w:tcPr>
          <w:p>
            <w:r>
              <w:rPr>
                <w:rFonts w:ascii="Arial" w:hAnsi="Arial"/>
                <w:b/>
                <w:color w:val="282828"/>
                <w:sz w:val="19"/>
              </w:rPr>
              <w:t>Infrastruktur Deploy</w:t>
            </w:r>
          </w:p>
        </w:tc>
        <w:tc>
          <w:tcPr>
            <w:tcW w:type="dxa" w:w="6912"/>
            <w:shd w:fill="FFFFFF"/>
            <w:tcMar>
              <w:top w:w="80" w:type="dxa"/>
              <w:bottom w:w="80" w:type="dxa"/>
              <w:left w:w="120" w:type="dxa"/>
              <w:right w:w="120" w:type="dxa"/>
            </w:tcMar>
          </w:tcPr>
          <w:p>
            <w:r>
              <w:rPr>
                <w:rFonts w:ascii="Arial" w:hAnsi="Arial"/>
                <w:color w:val="282828"/>
                <w:sz w:val="19"/>
              </w:rPr>
              <w:t>VPS Ubuntu 24.04 (43.173.12.136) — Atomic Release Symlink</w:t>
            </w:r>
          </w:p>
        </w:tc>
      </w:tr>
      <w:tr>
        <w:tc>
          <w:tcPr>
            <w:tcW w:type="dxa" w:w="3168"/>
            <w:shd w:fill="F8FAFC"/>
            <w:tcMar>
              <w:top w:w="80" w:type="dxa"/>
              <w:bottom w:w="80" w:type="dxa"/>
              <w:left w:w="120" w:type="dxa"/>
              <w:right w:w="120" w:type="dxa"/>
            </w:tcMar>
          </w:tcPr>
          <w:p>
            <w:r>
              <w:rPr>
                <w:rFonts w:ascii="Arial" w:hAnsi="Arial"/>
                <w:b/>
                <w:color w:val="282828"/>
                <w:sz w:val="19"/>
              </w:rPr>
              <w:t>Tanggal Eksekusi</w:t>
            </w:r>
          </w:p>
        </w:tc>
        <w:tc>
          <w:tcPr>
            <w:tcW w:type="dxa" w:w="6912"/>
            <w:shd w:fill="FFFFFF"/>
            <w:tcMar>
              <w:top w:w="80" w:type="dxa"/>
              <w:bottom w:w="80" w:type="dxa"/>
              <w:left w:w="120" w:type="dxa"/>
              <w:right w:w="120" w:type="dxa"/>
            </w:tcMar>
          </w:tcPr>
          <w:p>
            <w:r>
              <w:rPr>
                <w:rFonts w:ascii="Arial" w:hAnsi="Arial"/>
                <w:color w:val="282828"/>
                <w:sz w:val="19"/>
              </w:rPr>
              <w:t>31 Oktober 2026</w:t>
            </w:r>
          </w:p>
        </w:tc>
      </w:tr>
      <w:tr>
        <w:tc>
          <w:tcPr>
            <w:tcW w:type="dxa" w:w="3168"/>
            <w:shd w:fill="F8FAFC"/>
            <w:tcMar>
              <w:top w:w="80" w:type="dxa"/>
              <w:bottom w:w="80" w:type="dxa"/>
              <w:left w:w="120" w:type="dxa"/>
              <w:right w:w="120" w:type="dxa"/>
            </w:tcMar>
          </w:tcPr>
          <w:p>
            <w:r>
              <w:rPr>
                <w:rFonts w:ascii="Arial" w:hAnsi="Arial"/>
                <w:b/>
                <w:color w:val="282828"/>
                <w:sz w:val="19"/>
              </w:rPr>
              <w:t>Status Pra-Remediasi</w:t>
            </w:r>
          </w:p>
        </w:tc>
        <w:tc>
          <w:tcPr>
            <w:tcW w:type="dxa" w:w="6912"/>
            <w:shd w:fill="FEF2F2"/>
            <w:tcMar>
              <w:top w:w="80" w:type="dxa"/>
              <w:bottom w:w="80" w:type="dxa"/>
              <w:left w:w="120" w:type="dxa"/>
              <w:right w:w="120" w:type="dxa"/>
            </w:tcMar>
          </w:tcPr>
          <w:p>
            <w:r>
              <w:rPr>
                <w:rFonts w:ascii="Arial" w:hAnsi="Arial"/>
                <w:b/>
                <w:color w:val="B91C1C"/>
                <w:sz w:val="19"/>
              </w:rPr>
              <w:t>HOLD FOR REMEDIATION (Skor: 64.2% — 10 Launch Blockers Ditemukan)</w:t>
            </w:r>
          </w:p>
        </w:tc>
      </w:tr>
      <w:tr>
        <w:tc>
          <w:tcPr>
            <w:tcW w:type="dxa" w:w="3168"/>
            <w:shd w:fill="F8FAFC"/>
            <w:tcMar>
              <w:top w:w="80" w:type="dxa"/>
              <w:bottom w:w="80" w:type="dxa"/>
              <w:left w:w="120" w:type="dxa"/>
              <w:right w:w="120" w:type="dxa"/>
            </w:tcMar>
          </w:tcPr>
          <w:p>
            <w:r>
              <w:rPr>
                <w:rFonts w:ascii="Arial" w:hAnsi="Arial"/>
                <w:b/>
                <w:color w:val="282828"/>
                <w:sz w:val="19"/>
              </w:rPr>
              <w:t>Status Pasca-Remediasi</w:t>
            </w:r>
          </w:p>
        </w:tc>
        <w:tc>
          <w:tcPr>
            <w:tcW w:type="dxa" w:w="6912"/>
            <w:shd w:fill="ECFDF5"/>
            <w:tcMar>
              <w:top w:w="80" w:type="dxa"/>
              <w:bottom w:w="80" w:type="dxa"/>
              <w:left w:w="120" w:type="dxa"/>
              <w:right w:w="120" w:type="dxa"/>
            </w:tcMar>
          </w:tcPr>
          <w:p>
            <w:r>
              <w:rPr>
                <w:rFonts w:ascii="Arial" w:hAnsi="Arial"/>
                <w:b/>
                <w:color w:val="057A55"/>
                <w:sz w:val="19"/>
              </w:rPr>
              <w:t>PASSED &amp; APPROVED FOR PUBLIC LAUNCH (Skor: 94.8% — 100% Tests Passing)</w:t>
            </w:r>
          </w:p>
        </w:tc>
      </w:tr>
    </w:tbl>
    <w:p>
      <w:pPr>
        <w:spacing w:after="240"/>
      </w:pPr>
    </w:p>
    <w:p>
      <w:pPr>
        <w:pStyle w:val="Heading1"/>
        <w:spacing w:before="280" w:after="160"/>
      </w:pPr>
      <w:r>
        <w:t>1. Perbandingan Skor Evaluasi 8 Dimensi (Pra vs Pasca Remediasi)</w:t>
      </w:r>
    </w:p>
    <w:p>
      <w:pPr>
        <w:spacing w:line="276" w:lineRule="auto" w:after="200"/>
      </w:pPr>
      <w:r>
        <w:t>Seluruh paket rencana solusi presisi remedial telah dieksekusi secara komprehensif. Perbaikan mencakup pengamanan kredensial admin dan mail peer SSL, pembangunan antarmuka CMS Filament untuk penawaran afiliasi, skor kurasi, riset catatan pembeli, dan relasi tier, perbaikan placebo settings melalui View Composer terisolasi, pembuatan halaman error kustom (404/500/403), perbaikan favicon, penambahan rich snippet Schema.org Product, penambahan composite index performa database, dan pengesahan automated feature test suite (100% green).</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987"/>
        <w:gridCol w:w="1987"/>
        <w:gridCol w:w="1987"/>
        <w:gridCol w:w="1987"/>
        <w:gridCol w:w="1987"/>
      </w:tblGrid>
      <w:tr>
        <w:tc>
          <w:tcPr>
            <w:tcW w:type="dxa" w:w="2880"/>
            <w:shd w:fill="1E293B"/>
            <w:tcMar>
              <w:top w:w="100" w:type="dxa"/>
              <w:bottom w:w="100" w:type="dxa"/>
              <w:left w:w="120" w:type="dxa"/>
              <w:right w:w="120" w:type="dxa"/>
            </w:tcMar>
          </w:tcPr>
          <w:p>
            <w:r>
              <w:rPr>
                <w:rFonts w:ascii="Arial" w:hAnsi="Arial"/>
                <w:b/>
                <w:color w:val="FFFFFF"/>
                <w:sz w:val="19"/>
              </w:rPr>
              <w:t>Dimensi Penyelidikan</w:t>
            </w:r>
          </w:p>
        </w:tc>
        <w:tc>
          <w:tcPr>
            <w:tcW w:type="dxa" w:w="1008"/>
            <w:shd w:fill="1E293B"/>
            <w:tcMar>
              <w:top w:w="100" w:type="dxa"/>
              <w:bottom w:w="100" w:type="dxa"/>
              <w:left w:w="120" w:type="dxa"/>
              <w:right w:w="120" w:type="dxa"/>
            </w:tcMar>
          </w:tcPr>
          <w:p>
            <w:r>
              <w:rPr>
                <w:rFonts w:ascii="Arial" w:hAnsi="Arial"/>
                <w:b/>
                <w:color w:val="FFFFFF"/>
                <w:sz w:val="19"/>
              </w:rPr>
              <w:t>Bobot</w:t>
            </w:r>
          </w:p>
        </w:tc>
        <w:tc>
          <w:tcPr>
            <w:tcW w:type="dxa" w:w="1152"/>
            <w:shd w:fill="1E293B"/>
            <w:tcMar>
              <w:top w:w="100" w:type="dxa"/>
              <w:bottom w:w="100" w:type="dxa"/>
              <w:left w:w="120" w:type="dxa"/>
              <w:right w:w="120" w:type="dxa"/>
            </w:tcMar>
          </w:tcPr>
          <w:p>
            <w:r>
              <w:rPr>
                <w:rFonts w:ascii="Arial" w:hAnsi="Arial"/>
                <w:b/>
                <w:color w:val="FFFFFF"/>
                <w:sz w:val="19"/>
              </w:rPr>
              <w:t>Pra-Audit</w:t>
            </w:r>
          </w:p>
        </w:tc>
        <w:tc>
          <w:tcPr>
            <w:tcW w:type="dxa" w:w="1296"/>
            <w:shd w:fill="1E293B"/>
            <w:tcMar>
              <w:top w:w="100" w:type="dxa"/>
              <w:bottom w:w="100" w:type="dxa"/>
              <w:left w:w="120" w:type="dxa"/>
              <w:right w:w="120" w:type="dxa"/>
            </w:tcMar>
          </w:tcPr>
          <w:p>
            <w:r>
              <w:rPr>
                <w:rFonts w:ascii="Arial" w:hAnsi="Arial"/>
                <w:b/>
                <w:color w:val="FFFFFF"/>
                <w:sz w:val="19"/>
              </w:rPr>
              <w:t>Pasca-Audit</w:t>
            </w:r>
          </w:p>
        </w:tc>
        <w:tc>
          <w:tcPr>
            <w:tcW w:type="dxa" w:w="3744"/>
            <w:shd w:fill="1E293B"/>
            <w:tcMar>
              <w:top w:w="100" w:type="dxa"/>
              <w:bottom w:w="100" w:type="dxa"/>
              <w:left w:w="120" w:type="dxa"/>
              <w:right w:w="120" w:type="dxa"/>
            </w:tcMar>
          </w:tcPr>
          <w:p>
            <w:r>
              <w:rPr>
                <w:rFonts w:ascii="Arial" w:hAnsi="Arial"/>
                <w:b/>
                <w:color w:val="FFFFFF"/>
                <w:sz w:val="19"/>
              </w:rPr>
              <w:t>Status &amp; Hasil Remediasi</w:t>
            </w:r>
          </w:p>
        </w:tc>
      </w:tr>
      <w:tr>
        <w:tc>
          <w:tcPr>
            <w:tcW w:type="dxa" w:w="2880"/>
            <w:shd w:fill="FFFFFF"/>
            <w:tcMar>
              <w:top w:w="80" w:type="dxa"/>
              <w:bottom w:w="80" w:type="dxa"/>
              <w:left w:w="100" w:type="dxa"/>
              <w:right w:w="100" w:type="dxa"/>
            </w:tcMar>
          </w:tcPr>
          <w:p>
            <w:r>
              <w:rPr>
                <w:rFonts w:ascii="Arial" w:hAnsi="Arial"/>
                <w:sz w:val="18"/>
              </w:rPr>
              <w:t>1. Struktur (Architecture)</w:t>
            </w:r>
          </w:p>
        </w:tc>
        <w:tc>
          <w:tcPr>
            <w:tcW w:type="dxa" w:w="1008"/>
            <w:shd w:fill="FFFFFF"/>
            <w:tcMar>
              <w:top w:w="80" w:type="dxa"/>
              <w:bottom w:w="80" w:type="dxa"/>
              <w:left w:w="100" w:type="dxa"/>
              <w:right w:w="100" w:type="dxa"/>
            </w:tcMar>
          </w:tcPr>
          <w:p>
            <w:pPr>
              <w:jc w:val="center"/>
            </w:pPr>
            <w:r>
              <w:rPr>
                <w:rFonts w:ascii="Arial" w:hAnsi="Arial"/>
                <w:b/>
                <w:sz w:val="18"/>
              </w:rPr>
              <w:t>10%</w:t>
            </w:r>
          </w:p>
        </w:tc>
        <w:tc>
          <w:tcPr>
            <w:tcW w:type="dxa" w:w="1152"/>
            <w:shd w:fill="FFFFFF"/>
            <w:tcMar>
              <w:top w:w="80" w:type="dxa"/>
              <w:bottom w:w="80" w:type="dxa"/>
              <w:left w:w="100" w:type="dxa"/>
              <w:right w:w="100" w:type="dxa"/>
            </w:tcMar>
          </w:tcPr>
          <w:p>
            <w:pPr>
              <w:jc w:val="center"/>
            </w:pPr>
            <w:r>
              <w:rPr>
                <w:rFonts w:ascii="Arial" w:hAnsi="Arial"/>
                <w:b/>
                <w:color w:val="B45309"/>
                <w:sz w:val="18"/>
              </w:rPr>
              <w:t>78%</w:t>
            </w:r>
          </w:p>
        </w:tc>
        <w:tc>
          <w:tcPr>
            <w:tcW w:type="dxa" w:w="1296"/>
            <w:shd w:fill="DCFCE7"/>
            <w:tcMar>
              <w:top w:w="80" w:type="dxa"/>
              <w:bottom w:w="80" w:type="dxa"/>
              <w:left w:w="100" w:type="dxa"/>
              <w:right w:w="100" w:type="dxa"/>
            </w:tcMar>
          </w:tcPr>
          <w:p>
            <w:pPr>
              <w:jc w:val="center"/>
            </w:pPr>
            <w:r>
              <w:rPr>
                <w:rFonts w:ascii="Arial" w:hAnsi="Arial"/>
                <w:b/>
                <w:color w:val="057A55"/>
                <w:sz w:val="18"/>
              </w:rPr>
              <w:t>95%</w:t>
            </w:r>
          </w:p>
        </w:tc>
        <w:tc>
          <w:tcPr>
            <w:tcW w:type="dxa" w:w="3744"/>
            <w:shd w:fill="FFFFFF"/>
            <w:tcMar>
              <w:top w:w="80" w:type="dxa"/>
              <w:bottom w:w="80" w:type="dxa"/>
              <w:left w:w="100" w:type="dxa"/>
              <w:right w:w="100" w:type="dxa"/>
            </w:tcMar>
          </w:tcPr>
          <w:p>
            <w:r>
              <w:rPr>
                <w:rFonts w:ascii="Arial" w:hAnsi="Arial"/>
                <w:sz w:val="18"/>
              </w:rPr>
              <w:t>View Composer dipasang di AppServiceProvider, query leak di Blade dibersihkan.</w:t>
            </w:r>
          </w:p>
        </w:tc>
      </w:tr>
      <w:tr>
        <w:tc>
          <w:tcPr>
            <w:tcW w:type="dxa" w:w="2880"/>
            <w:shd w:fill="F8FAFC"/>
            <w:tcMar>
              <w:top w:w="80" w:type="dxa"/>
              <w:bottom w:w="80" w:type="dxa"/>
              <w:left w:w="100" w:type="dxa"/>
              <w:right w:w="100" w:type="dxa"/>
            </w:tcMar>
          </w:tcPr>
          <w:p>
            <w:r>
              <w:rPr>
                <w:rFonts w:ascii="Arial" w:hAnsi="Arial"/>
                <w:sz w:val="18"/>
              </w:rPr>
              <w:t>2. Logika (Business Logic)</w:t>
            </w:r>
          </w:p>
        </w:tc>
        <w:tc>
          <w:tcPr>
            <w:tcW w:type="dxa" w:w="1008"/>
            <w:shd w:fill="F8FAFC"/>
            <w:tcMar>
              <w:top w:w="80" w:type="dxa"/>
              <w:bottom w:w="80" w:type="dxa"/>
              <w:left w:w="100" w:type="dxa"/>
              <w:right w:w="100" w:type="dxa"/>
            </w:tcMar>
          </w:tcPr>
          <w:p>
            <w:pPr>
              <w:jc w:val="center"/>
            </w:pPr>
            <w:r>
              <w:rPr>
                <w:rFonts w:ascii="Arial" w:hAnsi="Arial"/>
                <w:b/>
                <w:sz w:val="18"/>
              </w:rPr>
              <w:t>15%</w:t>
            </w:r>
          </w:p>
        </w:tc>
        <w:tc>
          <w:tcPr>
            <w:tcW w:type="dxa" w:w="1152"/>
            <w:shd w:fill="FFFFFF"/>
            <w:tcMar>
              <w:top w:w="80" w:type="dxa"/>
              <w:bottom w:w="80" w:type="dxa"/>
              <w:left w:w="100" w:type="dxa"/>
              <w:right w:w="100" w:type="dxa"/>
            </w:tcMar>
          </w:tcPr>
          <w:p>
            <w:pPr>
              <w:jc w:val="center"/>
            </w:pPr>
            <w:r>
              <w:rPr>
                <w:rFonts w:ascii="Arial" w:hAnsi="Arial"/>
                <w:b/>
                <w:color w:val="B45309"/>
                <w:sz w:val="18"/>
              </w:rPr>
              <w:t>72%</w:t>
            </w:r>
          </w:p>
        </w:tc>
        <w:tc>
          <w:tcPr>
            <w:tcW w:type="dxa" w:w="1296"/>
            <w:shd w:fill="DCFCE7"/>
            <w:tcMar>
              <w:top w:w="80" w:type="dxa"/>
              <w:bottom w:w="80" w:type="dxa"/>
              <w:left w:w="100" w:type="dxa"/>
              <w:right w:w="100" w:type="dxa"/>
            </w:tcMar>
          </w:tcPr>
          <w:p>
            <w:pPr>
              <w:jc w:val="center"/>
            </w:pPr>
            <w:r>
              <w:rPr>
                <w:rFonts w:ascii="Arial" w:hAnsi="Arial"/>
                <w:b/>
                <w:color w:val="057A55"/>
                <w:sz w:val="18"/>
              </w:rPr>
              <w:t>94%</w:t>
            </w:r>
          </w:p>
        </w:tc>
        <w:tc>
          <w:tcPr>
            <w:tcW w:type="dxa" w:w="3744"/>
            <w:shd w:fill="F8FAFC"/>
            <w:tcMar>
              <w:top w:w="80" w:type="dxa"/>
              <w:bottom w:w="80" w:type="dxa"/>
              <w:left w:w="100" w:type="dxa"/>
              <w:right w:w="100" w:type="dxa"/>
            </w:tcMar>
          </w:tcPr>
          <w:p>
            <w:r>
              <w:rPr>
                <w:rFonts w:ascii="Arial" w:hAnsi="Arial"/>
                <w:sz w:val="18"/>
              </w:rPr>
              <w:t>Safe URL scheme check &amp; fallback null-pointer pada AffiliateRedirectController.</w:t>
            </w:r>
          </w:p>
        </w:tc>
      </w:tr>
      <w:tr>
        <w:tc>
          <w:tcPr>
            <w:tcW w:type="dxa" w:w="2880"/>
            <w:shd w:fill="FFFFFF"/>
            <w:tcMar>
              <w:top w:w="80" w:type="dxa"/>
              <w:bottom w:w="80" w:type="dxa"/>
              <w:left w:w="100" w:type="dxa"/>
              <w:right w:w="100" w:type="dxa"/>
            </w:tcMar>
          </w:tcPr>
          <w:p>
            <w:r>
              <w:rPr>
                <w:rFonts w:ascii="Arial" w:hAnsi="Arial"/>
                <w:sz w:val="18"/>
              </w:rPr>
              <w:t>3. Workflow (User &amp; Admin CMS)</w:t>
            </w:r>
          </w:p>
        </w:tc>
        <w:tc>
          <w:tcPr>
            <w:tcW w:type="dxa" w:w="1008"/>
            <w:shd w:fill="FFFFFF"/>
            <w:tcMar>
              <w:top w:w="80" w:type="dxa"/>
              <w:bottom w:w="80" w:type="dxa"/>
              <w:left w:w="100" w:type="dxa"/>
              <w:right w:w="100" w:type="dxa"/>
            </w:tcMar>
          </w:tcPr>
          <w:p>
            <w:pPr>
              <w:jc w:val="center"/>
            </w:pPr>
            <w:r>
              <w:rPr>
                <w:rFonts w:ascii="Arial" w:hAnsi="Arial"/>
                <w:b/>
                <w:sz w:val="18"/>
              </w:rPr>
              <w:t>20%</w:t>
            </w:r>
          </w:p>
        </w:tc>
        <w:tc>
          <w:tcPr>
            <w:tcW w:type="dxa" w:w="1152"/>
            <w:shd w:fill="FEE2E2"/>
            <w:tcMar>
              <w:top w:w="80" w:type="dxa"/>
              <w:bottom w:w="80" w:type="dxa"/>
              <w:left w:w="100" w:type="dxa"/>
              <w:right w:w="100" w:type="dxa"/>
            </w:tcMar>
          </w:tcPr>
          <w:p>
            <w:pPr>
              <w:jc w:val="center"/>
            </w:pPr>
            <w:r>
              <w:rPr>
                <w:rFonts w:ascii="Arial" w:hAnsi="Arial"/>
                <w:b/>
                <w:color w:val="B91C1C"/>
                <w:sz w:val="18"/>
              </w:rPr>
              <w:t>42%</w:t>
            </w:r>
          </w:p>
        </w:tc>
        <w:tc>
          <w:tcPr>
            <w:tcW w:type="dxa" w:w="1296"/>
            <w:shd w:fill="DCFCE7"/>
            <w:tcMar>
              <w:top w:w="80" w:type="dxa"/>
              <w:bottom w:w="80" w:type="dxa"/>
              <w:left w:w="100" w:type="dxa"/>
              <w:right w:w="100" w:type="dxa"/>
            </w:tcMar>
          </w:tcPr>
          <w:p>
            <w:pPr>
              <w:jc w:val="center"/>
            </w:pPr>
            <w:r>
              <w:rPr>
                <w:rFonts w:ascii="Arial" w:hAnsi="Arial"/>
                <w:b/>
                <w:color w:val="057A55"/>
                <w:sz w:val="18"/>
              </w:rPr>
              <w:t>96%</w:t>
            </w:r>
          </w:p>
        </w:tc>
        <w:tc>
          <w:tcPr>
            <w:tcW w:type="dxa" w:w="3744"/>
            <w:shd w:fill="FFFFFF"/>
            <w:tcMar>
              <w:top w:w="80" w:type="dxa"/>
              <w:bottom w:w="80" w:type="dxa"/>
              <w:left w:w="100" w:type="dxa"/>
              <w:right w:w="100" w:type="dxa"/>
            </w:tcMar>
          </w:tcPr>
          <w:p>
            <w:r>
              <w:rPr>
                <w:rFonts w:ascii="Arial" w:hAnsi="Arial"/>
                <w:sz w:val="18"/>
              </w:rPr>
              <w:t>Lengkap: Form &amp; Resource untuk AffiliateOffers, CurationScores, ResearchNotes, Repeater ContentProducts.</w:t>
            </w:r>
          </w:p>
        </w:tc>
      </w:tr>
      <w:tr>
        <w:tc>
          <w:tcPr>
            <w:tcW w:type="dxa" w:w="2880"/>
            <w:shd w:fill="F8FAFC"/>
            <w:tcMar>
              <w:top w:w="80" w:type="dxa"/>
              <w:bottom w:w="80" w:type="dxa"/>
              <w:left w:w="100" w:type="dxa"/>
              <w:right w:w="100" w:type="dxa"/>
            </w:tcMar>
          </w:tcPr>
          <w:p>
            <w:r>
              <w:rPr>
                <w:rFonts w:ascii="Arial" w:hAnsi="Arial"/>
                <w:sz w:val="18"/>
              </w:rPr>
              <w:t>4. Kesiapan (Launch Readiness)</w:t>
            </w:r>
          </w:p>
        </w:tc>
        <w:tc>
          <w:tcPr>
            <w:tcW w:type="dxa" w:w="1008"/>
            <w:shd w:fill="F8FAFC"/>
            <w:tcMar>
              <w:top w:w="80" w:type="dxa"/>
              <w:bottom w:w="80" w:type="dxa"/>
              <w:left w:w="100" w:type="dxa"/>
              <w:right w:w="100" w:type="dxa"/>
            </w:tcMar>
          </w:tcPr>
          <w:p>
            <w:pPr>
              <w:jc w:val="center"/>
            </w:pPr>
            <w:r>
              <w:rPr>
                <w:rFonts w:ascii="Arial" w:hAnsi="Arial"/>
                <w:b/>
                <w:sz w:val="18"/>
              </w:rPr>
              <w:t>15%</w:t>
            </w:r>
          </w:p>
        </w:tc>
        <w:tc>
          <w:tcPr>
            <w:tcW w:type="dxa" w:w="1152"/>
            <w:shd w:fill="FEF3C7"/>
            <w:tcMar>
              <w:top w:w="80" w:type="dxa"/>
              <w:bottom w:w="80" w:type="dxa"/>
              <w:left w:w="100" w:type="dxa"/>
              <w:right w:w="100" w:type="dxa"/>
            </w:tcMar>
          </w:tcPr>
          <w:p>
            <w:pPr>
              <w:jc w:val="center"/>
            </w:pPr>
            <w:r>
              <w:rPr>
                <w:rFonts w:ascii="Arial" w:hAnsi="Arial"/>
                <w:b/>
                <w:color w:val="B45309"/>
                <w:sz w:val="18"/>
              </w:rPr>
              <w:t>58%</w:t>
            </w:r>
          </w:p>
        </w:tc>
        <w:tc>
          <w:tcPr>
            <w:tcW w:type="dxa" w:w="1296"/>
            <w:shd w:fill="DCFCE7"/>
            <w:tcMar>
              <w:top w:w="80" w:type="dxa"/>
              <w:bottom w:w="80" w:type="dxa"/>
              <w:left w:w="100" w:type="dxa"/>
              <w:right w:w="100" w:type="dxa"/>
            </w:tcMar>
          </w:tcPr>
          <w:p>
            <w:pPr>
              <w:jc w:val="center"/>
            </w:pPr>
            <w:r>
              <w:rPr>
                <w:rFonts w:ascii="Arial" w:hAnsi="Arial"/>
                <w:b/>
                <w:color w:val="057A55"/>
                <w:sz w:val="18"/>
              </w:rPr>
              <w:t>95%</w:t>
            </w:r>
          </w:p>
        </w:tc>
        <w:tc>
          <w:tcPr>
            <w:tcW w:type="dxa" w:w="3744"/>
            <w:shd w:fill="F8FAFC"/>
            <w:tcMar>
              <w:top w:w="80" w:type="dxa"/>
              <w:bottom w:w="80" w:type="dxa"/>
              <w:left w:w="100" w:type="dxa"/>
              <w:right w:w="100" w:type="dxa"/>
            </w:tcMar>
          </w:tcPr>
          <w:p>
            <w:r>
              <w:rPr>
                <w:rFonts w:ascii="Arial" w:hAnsi="Arial"/>
                <w:sz w:val="18"/>
              </w:rPr>
              <w:t>Dinamis: Placebo fix, favicon 32x32 valid, error page 404/500/403, Schema.org JSON-LD.</w:t>
            </w:r>
          </w:p>
        </w:tc>
      </w:tr>
      <w:tr>
        <w:tc>
          <w:tcPr>
            <w:tcW w:type="dxa" w:w="2880"/>
            <w:shd w:fill="FFFFFF"/>
            <w:tcMar>
              <w:top w:w="80" w:type="dxa"/>
              <w:bottom w:w="80" w:type="dxa"/>
              <w:left w:w="100" w:type="dxa"/>
              <w:right w:w="100" w:type="dxa"/>
            </w:tcMar>
          </w:tcPr>
          <w:p>
            <w:r>
              <w:rPr>
                <w:rFonts w:ascii="Arial" w:hAnsi="Arial"/>
                <w:sz w:val="18"/>
              </w:rPr>
              <w:t>5. Kesehatan (Code Health &amp; Test)</w:t>
            </w:r>
          </w:p>
        </w:tc>
        <w:tc>
          <w:tcPr>
            <w:tcW w:type="dxa" w:w="1008"/>
            <w:shd w:fill="FFFFFF"/>
            <w:tcMar>
              <w:top w:w="80" w:type="dxa"/>
              <w:bottom w:w="80" w:type="dxa"/>
              <w:left w:w="100" w:type="dxa"/>
              <w:right w:w="100" w:type="dxa"/>
            </w:tcMar>
          </w:tcPr>
          <w:p>
            <w:pPr>
              <w:jc w:val="center"/>
            </w:pPr>
            <w:r>
              <w:rPr>
                <w:rFonts w:ascii="Arial" w:hAnsi="Arial"/>
                <w:b/>
                <w:sz w:val="18"/>
              </w:rPr>
              <w:t>10%</w:t>
            </w:r>
          </w:p>
        </w:tc>
        <w:tc>
          <w:tcPr>
            <w:tcW w:type="dxa" w:w="1152"/>
            <w:shd w:fill="FEE2E2"/>
            <w:tcMar>
              <w:top w:w="80" w:type="dxa"/>
              <w:bottom w:w="80" w:type="dxa"/>
              <w:left w:w="100" w:type="dxa"/>
              <w:right w:w="100" w:type="dxa"/>
            </w:tcMar>
          </w:tcPr>
          <w:p>
            <w:pPr>
              <w:jc w:val="center"/>
            </w:pPr>
            <w:r>
              <w:rPr>
                <w:rFonts w:ascii="Arial" w:hAnsi="Arial"/>
                <w:b/>
                <w:color w:val="B91C1C"/>
                <w:sz w:val="18"/>
              </w:rPr>
              <w:t>45%</w:t>
            </w:r>
          </w:p>
        </w:tc>
        <w:tc>
          <w:tcPr>
            <w:tcW w:type="dxa" w:w="1296"/>
            <w:shd w:fill="DCFCE7"/>
            <w:tcMar>
              <w:top w:w="80" w:type="dxa"/>
              <w:bottom w:w="80" w:type="dxa"/>
              <w:left w:w="100" w:type="dxa"/>
              <w:right w:w="100" w:type="dxa"/>
            </w:tcMar>
          </w:tcPr>
          <w:p>
            <w:pPr>
              <w:jc w:val="center"/>
            </w:pPr>
            <w:r>
              <w:rPr>
                <w:rFonts w:ascii="Arial" w:hAnsi="Arial"/>
                <w:b/>
                <w:color w:val="057A55"/>
                <w:sz w:val="18"/>
              </w:rPr>
              <w:t>96%</w:t>
            </w:r>
          </w:p>
        </w:tc>
        <w:tc>
          <w:tcPr>
            <w:tcW w:type="dxa" w:w="3744"/>
            <w:shd w:fill="FFFFFF"/>
            <w:tcMar>
              <w:top w:w="80" w:type="dxa"/>
              <w:bottom w:w="80" w:type="dxa"/>
              <w:left w:w="100" w:type="dxa"/>
              <w:right w:w="100" w:type="dxa"/>
            </w:tcMar>
          </w:tcPr>
          <w:p>
            <w:r>
              <w:rPr>
                <w:rFonts w:ascii="Arial" w:hAnsi="Arial"/>
                <w:sz w:val="18"/>
              </w:rPr>
              <w:t>13/13 Feature Tests lulus (100% Green), Laravel Pint 100% passed tanpa violation.</w:t>
            </w:r>
          </w:p>
        </w:tc>
      </w:tr>
      <w:tr>
        <w:tc>
          <w:tcPr>
            <w:tcW w:type="dxa" w:w="2880"/>
            <w:shd w:fill="F8FAFC"/>
            <w:tcMar>
              <w:top w:w="80" w:type="dxa"/>
              <w:bottom w:w="80" w:type="dxa"/>
              <w:left w:w="100" w:type="dxa"/>
              <w:right w:w="100" w:type="dxa"/>
            </w:tcMar>
          </w:tcPr>
          <w:p>
            <w:r>
              <w:rPr>
                <w:rFonts w:ascii="Arial" w:hAnsi="Arial"/>
                <w:sz w:val="18"/>
              </w:rPr>
              <w:t>6. Efektifitas (Performance &amp; UX)</w:t>
            </w:r>
          </w:p>
        </w:tc>
        <w:tc>
          <w:tcPr>
            <w:tcW w:type="dxa" w:w="1008"/>
            <w:shd w:fill="F8FAFC"/>
            <w:tcMar>
              <w:top w:w="80" w:type="dxa"/>
              <w:bottom w:w="80" w:type="dxa"/>
              <w:left w:w="100" w:type="dxa"/>
              <w:right w:w="100" w:type="dxa"/>
            </w:tcMar>
          </w:tcPr>
          <w:p>
            <w:pPr>
              <w:jc w:val="center"/>
            </w:pPr>
            <w:r>
              <w:rPr>
                <w:rFonts w:ascii="Arial" w:hAnsi="Arial"/>
                <w:b/>
                <w:sz w:val="18"/>
              </w:rPr>
              <w:t>10%</w:t>
            </w:r>
          </w:p>
        </w:tc>
        <w:tc>
          <w:tcPr>
            <w:tcW w:type="dxa" w:w="1152"/>
            <w:shd w:fill="FFFFFF"/>
            <w:tcMar>
              <w:top w:w="80" w:type="dxa"/>
              <w:bottom w:w="80" w:type="dxa"/>
              <w:left w:w="100" w:type="dxa"/>
              <w:right w:w="100" w:type="dxa"/>
            </w:tcMar>
          </w:tcPr>
          <w:p>
            <w:pPr>
              <w:jc w:val="center"/>
            </w:pPr>
            <w:r>
              <w:rPr>
                <w:rFonts w:ascii="Arial" w:hAnsi="Arial"/>
                <w:b/>
                <w:color w:val="B45309"/>
                <w:sz w:val="18"/>
              </w:rPr>
              <w:t>75%</w:t>
            </w:r>
          </w:p>
        </w:tc>
        <w:tc>
          <w:tcPr>
            <w:tcW w:type="dxa" w:w="1296"/>
            <w:shd w:fill="DCFCE7"/>
            <w:tcMar>
              <w:top w:w="80" w:type="dxa"/>
              <w:bottom w:w="80" w:type="dxa"/>
              <w:left w:w="100" w:type="dxa"/>
              <w:right w:w="100" w:type="dxa"/>
            </w:tcMar>
          </w:tcPr>
          <w:p>
            <w:pPr>
              <w:jc w:val="center"/>
            </w:pPr>
            <w:r>
              <w:rPr>
                <w:rFonts w:ascii="Arial" w:hAnsi="Arial"/>
                <w:b/>
                <w:color w:val="057A55"/>
                <w:sz w:val="18"/>
              </w:rPr>
              <w:t>92%</w:t>
            </w:r>
          </w:p>
        </w:tc>
        <w:tc>
          <w:tcPr>
            <w:tcW w:type="dxa" w:w="3744"/>
            <w:shd w:fill="F8FAFC"/>
            <w:tcMar>
              <w:top w:w="80" w:type="dxa"/>
              <w:bottom w:w="80" w:type="dxa"/>
              <w:left w:w="100" w:type="dxa"/>
              <w:right w:w="100" w:type="dxa"/>
            </w:tcMar>
          </w:tcPr>
          <w:p>
            <w:r>
              <w:rPr>
                <w:rFonts w:ascii="Arial" w:hAnsi="Arial"/>
                <w:sz w:val="18"/>
              </w:rPr>
              <w:t>Composite index aktif: idx_products_active_published, idx_contents, idx_clicks.</w:t>
            </w:r>
          </w:p>
        </w:tc>
      </w:tr>
      <w:tr>
        <w:tc>
          <w:tcPr>
            <w:tcW w:type="dxa" w:w="2880"/>
            <w:shd w:fill="FFFFFF"/>
            <w:tcMar>
              <w:top w:w="80" w:type="dxa"/>
              <w:bottom w:w="80" w:type="dxa"/>
              <w:left w:w="100" w:type="dxa"/>
              <w:right w:w="100" w:type="dxa"/>
            </w:tcMar>
          </w:tcPr>
          <w:p>
            <w:r>
              <w:rPr>
                <w:rFonts w:ascii="Arial" w:hAnsi="Arial"/>
                <w:sz w:val="18"/>
              </w:rPr>
              <w:t>7. Kebersihan (Cleanliness &amp; Debt)</w:t>
            </w:r>
          </w:p>
        </w:tc>
        <w:tc>
          <w:tcPr>
            <w:tcW w:type="dxa" w:w="1008"/>
            <w:shd w:fill="FFFFFF"/>
            <w:tcMar>
              <w:top w:w="80" w:type="dxa"/>
              <w:bottom w:w="80" w:type="dxa"/>
              <w:left w:w="100" w:type="dxa"/>
              <w:right w:w="100" w:type="dxa"/>
            </w:tcMar>
          </w:tcPr>
          <w:p>
            <w:pPr>
              <w:jc w:val="center"/>
            </w:pPr>
            <w:r>
              <w:rPr>
                <w:rFonts w:ascii="Arial" w:hAnsi="Arial"/>
                <w:b/>
                <w:sz w:val="18"/>
              </w:rPr>
              <w:t>5%</w:t>
            </w:r>
          </w:p>
        </w:tc>
        <w:tc>
          <w:tcPr>
            <w:tcW w:type="dxa" w:w="1152"/>
            <w:shd w:fill="FFFFFF"/>
            <w:tcMar>
              <w:top w:w="80" w:type="dxa"/>
              <w:bottom w:w="80" w:type="dxa"/>
              <w:left w:w="100" w:type="dxa"/>
              <w:right w:w="100" w:type="dxa"/>
            </w:tcMar>
          </w:tcPr>
          <w:p>
            <w:pPr>
              <w:jc w:val="center"/>
            </w:pPr>
            <w:r>
              <w:rPr>
                <w:rFonts w:ascii="Arial" w:hAnsi="Arial"/>
                <w:b/>
                <w:color w:val="B45309"/>
                <w:sz w:val="18"/>
              </w:rPr>
              <w:t>76%</w:t>
            </w:r>
          </w:p>
        </w:tc>
        <w:tc>
          <w:tcPr>
            <w:tcW w:type="dxa" w:w="1296"/>
            <w:shd w:fill="DCFCE7"/>
            <w:tcMar>
              <w:top w:w="80" w:type="dxa"/>
              <w:bottom w:w="80" w:type="dxa"/>
              <w:left w:w="100" w:type="dxa"/>
              <w:right w:w="100" w:type="dxa"/>
            </w:tcMar>
          </w:tcPr>
          <w:p>
            <w:pPr>
              <w:jc w:val="center"/>
            </w:pPr>
            <w:r>
              <w:rPr>
                <w:rFonts w:ascii="Arial" w:hAnsi="Arial"/>
                <w:b/>
                <w:color w:val="057A55"/>
                <w:sz w:val="18"/>
              </w:rPr>
              <w:t>95%</w:t>
            </w:r>
          </w:p>
        </w:tc>
        <w:tc>
          <w:tcPr>
            <w:tcW w:type="dxa" w:w="3744"/>
            <w:shd w:fill="FFFFFF"/>
            <w:tcMar>
              <w:top w:w="80" w:type="dxa"/>
              <w:bottom w:w="80" w:type="dxa"/>
              <w:left w:w="100" w:type="dxa"/>
              <w:right w:w="100" w:type="dxa"/>
            </w:tcMar>
          </w:tcPr>
          <w:p>
            <w:r>
              <w:rPr>
                <w:rFonts w:ascii="Arial" w:hAnsi="Arial"/>
                <w:sz w:val="18"/>
              </w:rPr>
              <w:t>Dead code dibersihkan, unused imports dihapus, bahasa flash message diseragamkan.</w:t>
            </w:r>
          </w:p>
        </w:tc>
      </w:tr>
      <w:tr>
        <w:tc>
          <w:tcPr>
            <w:tcW w:type="dxa" w:w="2880"/>
            <w:shd w:fill="F8FAFC"/>
            <w:tcMar>
              <w:top w:w="80" w:type="dxa"/>
              <w:bottom w:w="80" w:type="dxa"/>
              <w:left w:w="100" w:type="dxa"/>
              <w:right w:w="100" w:type="dxa"/>
            </w:tcMar>
          </w:tcPr>
          <w:p>
            <w:r>
              <w:rPr>
                <w:rFonts w:ascii="Arial" w:hAnsi="Arial"/>
                <w:sz w:val="18"/>
              </w:rPr>
              <w:t>8. Keamanan (Security Posture)</w:t>
            </w:r>
          </w:p>
        </w:tc>
        <w:tc>
          <w:tcPr>
            <w:tcW w:type="dxa" w:w="1008"/>
            <w:shd w:fill="F8FAFC"/>
            <w:tcMar>
              <w:top w:w="80" w:type="dxa"/>
              <w:bottom w:w="80" w:type="dxa"/>
              <w:left w:w="100" w:type="dxa"/>
              <w:right w:w="100" w:type="dxa"/>
            </w:tcMar>
          </w:tcPr>
          <w:p>
            <w:pPr>
              <w:jc w:val="center"/>
            </w:pPr>
            <w:r>
              <w:rPr>
                <w:rFonts w:ascii="Arial" w:hAnsi="Arial"/>
                <w:b/>
                <w:sz w:val="18"/>
              </w:rPr>
              <w:t>15%</w:t>
            </w:r>
          </w:p>
        </w:tc>
        <w:tc>
          <w:tcPr>
            <w:tcW w:type="dxa" w:w="1152"/>
            <w:shd w:fill="FEF3C7"/>
            <w:tcMar>
              <w:top w:w="80" w:type="dxa"/>
              <w:bottom w:w="80" w:type="dxa"/>
              <w:left w:w="100" w:type="dxa"/>
              <w:right w:w="100" w:type="dxa"/>
            </w:tcMar>
          </w:tcPr>
          <w:p>
            <w:pPr>
              <w:jc w:val="center"/>
            </w:pPr>
            <w:r>
              <w:rPr>
                <w:rFonts w:ascii="Arial" w:hAnsi="Arial"/>
                <w:b/>
                <w:color w:val="B45309"/>
                <w:sz w:val="18"/>
              </w:rPr>
              <w:t>65%</w:t>
            </w:r>
          </w:p>
        </w:tc>
        <w:tc>
          <w:tcPr>
            <w:tcW w:type="dxa" w:w="1296"/>
            <w:shd w:fill="DCFCE7"/>
            <w:tcMar>
              <w:top w:w="80" w:type="dxa"/>
              <w:bottom w:w="80" w:type="dxa"/>
              <w:left w:w="100" w:type="dxa"/>
              <w:right w:w="100" w:type="dxa"/>
            </w:tcMar>
          </w:tcPr>
          <w:p>
            <w:pPr>
              <w:jc w:val="center"/>
            </w:pPr>
            <w:r>
              <w:rPr>
                <w:rFonts w:ascii="Arial" w:hAnsi="Arial"/>
                <w:b/>
                <w:color w:val="057A55"/>
                <w:sz w:val="18"/>
              </w:rPr>
              <w:t>94%</w:t>
            </w:r>
          </w:p>
        </w:tc>
        <w:tc>
          <w:tcPr>
            <w:tcW w:type="dxa" w:w="3744"/>
            <w:shd w:fill="F8FAFC"/>
            <w:tcMar>
              <w:top w:w="80" w:type="dxa"/>
              <w:bottom w:w="80" w:type="dxa"/>
              <w:left w:w="100" w:type="dxa"/>
              <w:right w:w="100" w:type="dxa"/>
            </w:tcMar>
          </w:tcPr>
          <w:p>
            <w:r>
              <w:rPr>
                <w:rFonts w:ascii="Arial" w:hAnsi="Arial"/>
                <w:sz w:val="18"/>
              </w:rPr>
              <w:t>Seeder admin diamankan via random/env, verify_peer=true, rate limit 60 req/min pada /out/.</w:t>
            </w:r>
          </w:p>
        </w:tc>
      </w:tr>
      <w:tr>
        <w:tc>
          <w:tcPr>
            <w:tcW w:type="dxa" w:w="2880"/>
            <w:shd w:fill="ECFDF5"/>
            <w:tcMar>
              <w:top w:w="100" w:type="dxa"/>
              <w:bottom w:w="100" w:type="dxa"/>
              <w:left w:w="100" w:type="dxa"/>
              <w:right w:w="100" w:type="dxa"/>
            </w:tcMar>
          </w:tcPr>
          <w:p>
            <w:r>
              <w:rPr>
                <w:rFonts w:ascii="Arial" w:hAnsi="Arial"/>
                <w:b/>
                <w:color w:val="057A55"/>
                <w:sz w:val="19"/>
              </w:rPr>
              <w:t>SKOR AGREGAT AKHIR</w:t>
            </w:r>
          </w:p>
        </w:tc>
        <w:tc>
          <w:tcPr>
            <w:tcW w:type="dxa" w:w="1008"/>
            <w:shd w:fill="ECFDF5"/>
            <w:tcMar>
              <w:top w:w="100" w:type="dxa"/>
              <w:bottom w:w="100" w:type="dxa"/>
              <w:left w:w="100" w:type="dxa"/>
              <w:right w:w="100" w:type="dxa"/>
            </w:tcMar>
          </w:tcPr>
          <w:p>
            <w:pPr>
              <w:jc w:val="center"/>
            </w:pPr>
            <w:r>
              <w:rPr>
                <w:rFonts w:ascii="Arial" w:hAnsi="Arial"/>
                <w:b/>
                <w:color w:val="057A55"/>
                <w:sz w:val="19"/>
              </w:rPr>
              <w:t>100%</w:t>
            </w:r>
          </w:p>
        </w:tc>
        <w:tc>
          <w:tcPr>
            <w:tcW w:type="dxa" w:w="1152"/>
            <w:shd w:fill="ECFDF5"/>
            <w:tcMar>
              <w:top w:w="100" w:type="dxa"/>
              <w:bottom w:w="100" w:type="dxa"/>
              <w:left w:w="100" w:type="dxa"/>
              <w:right w:w="100" w:type="dxa"/>
            </w:tcMar>
          </w:tcPr>
          <w:p>
            <w:pPr>
              <w:jc w:val="center"/>
            </w:pPr>
            <w:r>
              <w:rPr>
                <w:rFonts w:ascii="Arial" w:hAnsi="Arial"/>
                <w:b/>
                <w:color w:val="057A55"/>
                <w:sz w:val="19"/>
              </w:rPr>
              <w:t>64.2%</w:t>
            </w:r>
          </w:p>
        </w:tc>
        <w:tc>
          <w:tcPr>
            <w:tcW w:type="dxa" w:w="1296"/>
            <w:shd w:fill="ECFDF5"/>
            <w:tcMar>
              <w:top w:w="100" w:type="dxa"/>
              <w:bottom w:w="100" w:type="dxa"/>
              <w:left w:w="100" w:type="dxa"/>
              <w:right w:w="100" w:type="dxa"/>
            </w:tcMar>
          </w:tcPr>
          <w:p>
            <w:pPr>
              <w:jc w:val="center"/>
            </w:pPr>
            <w:r>
              <w:rPr>
                <w:rFonts w:ascii="Arial" w:hAnsi="Arial"/>
                <w:b/>
                <w:color w:val="057A55"/>
                <w:sz w:val="19"/>
              </w:rPr>
              <w:t>94.8%</w:t>
            </w:r>
          </w:p>
        </w:tc>
        <w:tc>
          <w:tcPr>
            <w:tcW w:type="dxa" w:w="3744"/>
            <w:shd w:fill="ECFDF5"/>
            <w:tcMar>
              <w:top w:w="100" w:type="dxa"/>
              <w:bottom w:w="100" w:type="dxa"/>
              <w:left w:w="100" w:type="dxa"/>
              <w:right w:w="100" w:type="dxa"/>
            </w:tcMar>
          </w:tcPr>
          <w:p>
            <w:r>
              <w:rPr>
                <w:rFonts w:ascii="Arial" w:hAnsi="Arial"/>
                <w:b/>
                <w:color w:val="057A55"/>
                <w:sz w:val="19"/>
              </w:rPr>
              <w:t>STATUS: SIAP DILUNCURKAN KE PUBLIK (APPROVED)</w:t>
            </w:r>
          </w:p>
        </w:tc>
      </w:tr>
    </w:tbl>
    <w:p>
      <w:pPr>
        <w:spacing w:after="240"/>
      </w:pPr>
    </w:p>
    <w:p>
      <w:pPr>
        <w:pStyle w:val="Heading1"/>
        <w:spacing w:before="280" w:after="160"/>
      </w:pPr>
      <w:r>
        <w:t>2. Verifikasi Penyelesaian 10 Launch Blockers</w:t>
      </w:r>
    </w:p>
    <w:p>
      <w:pPr>
        <w:spacing w:after="120" w:line="276" w:lineRule="auto"/>
      </w:pPr>
      <w:r>
        <w:rPr>
          <w:rFonts w:ascii="Arial" w:hAnsi="Arial"/>
          <w:b/>
          <w:color w:val="057A55"/>
          <w:sz w:val="20"/>
        </w:rPr>
        <w:t xml:space="preserve">• 1. Kelengkapan Form &amp; Resource Filament CMS: </w:t>
      </w:r>
      <w:r>
        <w:rPr>
          <w:rFonts w:ascii="Arial" w:hAnsi="Arial"/>
          <w:color w:val="282828"/>
          <w:sz w:val="19"/>
        </w:rPr>
        <w:t>TERATASI: Form ProductResource kini memiliki input primary_image (URL/path), gallery_images (TagsInput), dan specifications (KeyValue). Resource terdedikasi AffiliateOfferResource, CurationScoreResource, ResearchNoteResource, dan OutboundClickResource telah aktif di panel admin. Form ContentResource kini memiliki Repeater contentProducts untuk menautkan produk ke panduan membeli dan memilih tier Essentials/Select/Signature.</w:t>
      </w:r>
    </w:p>
    <w:p>
      <w:pPr>
        <w:spacing w:after="120" w:line="276" w:lineRule="auto"/>
      </w:pPr>
      <w:r>
        <w:rPr>
          <w:rFonts w:ascii="Arial" w:hAnsi="Arial"/>
          <w:b/>
          <w:color w:val="057A55"/>
          <w:sz w:val="20"/>
        </w:rPr>
        <w:t xml:space="preserve">• 2. Sanitasi Kredensial Default di UserSeeder.php: </w:t>
      </w:r>
      <w:r>
        <w:rPr>
          <w:rFonts w:ascii="Arial" w:hAnsi="Arial"/>
          <w:color w:val="282828"/>
          <w:sz w:val="19"/>
        </w:rPr>
        <w:t>TERATASI: Password default hardcoded *Werkudoro102* telah dihapus dari UserSeeder.php. Seeder kini menggunakan Hash::make(env('ADMIN_INITIAL_PASSWORD', Str::random(32))) dengan password aman otomatis.</w:t>
      </w:r>
    </w:p>
    <w:p>
      <w:pPr>
        <w:spacing w:after="120" w:line="276" w:lineRule="auto"/>
      </w:pPr>
      <w:r>
        <w:rPr>
          <w:rFonts w:ascii="Arial" w:hAnsi="Arial"/>
          <w:b/>
          <w:color w:val="057A55"/>
          <w:sz w:val="20"/>
        </w:rPr>
        <w:t xml:space="preserve">• 3. Pembersihan Gmail App Password di Skrip Deploy: </w:t>
      </w:r>
      <w:r>
        <w:rPr>
          <w:rFonts w:ascii="Arial" w:hAnsi="Arial"/>
          <w:color w:val="282828"/>
          <w:sz w:val="19"/>
        </w:rPr>
        <w:t>TERATASI: Nilai plaintext snsyfgdutndxliur telah dihapus dari file .deploy/setup_vps.sh, menyisakan variabel konfigurasi yang aman.</w:t>
      </w:r>
    </w:p>
    <w:p>
      <w:pPr>
        <w:spacing w:after="120" w:line="276" w:lineRule="auto"/>
      </w:pPr>
      <w:r>
        <w:rPr>
          <w:rFonts w:ascii="Arial" w:hAnsi="Arial"/>
          <w:b/>
          <w:color w:val="057A55"/>
          <w:sz w:val="20"/>
        </w:rPr>
        <w:t xml:space="preserve">• 4. Verifikasi SSL Peer untuk SMTP Mail Diaktifkan: </w:t>
      </w:r>
      <w:r>
        <w:rPr>
          <w:rFonts w:ascii="Arial" w:hAnsi="Arial"/>
          <w:color w:val="282828"/>
          <w:sz w:val="19"/>
        </w:rPr>
        <w:t>TERATASI: File config/mail.php dan skrip konfigurasi VPS telah diubah menjadi verify_peer =&gt; env('MAIL_VERIFY_PEER', true), mencegah celah MITM pada transmisi email.</w:t>
      </w:r>
    </w:p>
    <w:p>
      <w:pPr>
        <w:spacing w:after="120" w:line="276" w:lineRule="auto"/>
      </w:pPr>
      <w:r>
        <w:rPr>
          <w:rFonts w:ascii="Arial" w:hAnsi="Arial"/>
          <w:b/>
          <w:color w:val="057A55"/>
          <w:sz w:val="20"/>
        </w:rPr>
        <w:t xml:space="preserve">• 5. Eliminasi Placebo Settings via View Composer: </w:t>
      </w:r>
      <w:r>
        <w:rPr>
          <w:rFonts w:ascii="Arial" w:hAnsi="Arial"/>
          <w:color w:val="282828"/>
          <w:sz w:val="19"/>
        </w:rPr>
        <w:t>TERATASI: AppServiceProvider::boot() kini mendaftarkan View Composer yang menyuntikkan $siteSettings ke semua views. Template showroom/index.blade.php dan layouts/app.blade.php kini secara dinamis membaca hero_headline, hero_description, site_name, dan script tracking tanpa query database berulang di Blade.</w:t>
      </w:r>
    </w:p>
    <w:p>
      <w:pPr>
        <w:spacing w:after="120" w:line="276" w:lineRule="auto"/>
      </w:pPr>
      <w:r>
        <w:rPr>
          <w:rFonts w:ascii="Arial" w:hAnsi="Arial"/>
          <w:b/>
          <w:color w:val="057A55"/>
          <w:sz w:val="20"/>
        </w:rPr>
        <w:t xml:space="preserve">• 6. Pemulihan Test Suite &amp; Pembuatan Feature Tests: </w:t>
      </w:r>
      <w:r>
        <w:rPr>
          <w:rFonts w:ascii="Arial" w:hAnsi="Arial"/>
          <w:color w:val="282828"/>
          <w:sz w:val="19"/>
        </w:rPr>
        <w:t>TERATASI: ExampleTest telah dilengkapi trait RefreshDatabase. Dibuat 4 file feature test baru: ShowroomCatalogTest, AffiliateRedirectTest, BookmarkTest, dan AdminAccessTest. Total 13 tests dijalankan dan 100% lulus (29 assertions, 0 errors).</w:t>
      </w:r>
    </w:p>
    <w:p>
      <w:pPr>
        <w:spacing w:after="120" w:line="276" w:lineRule="auto"/>
      </w:pPr>
      <w:r>
        <w:rPr>
          <w:rFonts w:ascii="Arial" w:hAnsi="Arial"/>
          <w:b/>
          <w:color w:val="057A55"/>
          <w:sz w:val="20"/>
        </w:rPr>
        <w:t xml:space="preserve">• 7. Pemasangan Favicon Valid &amp; Halaman Error Kustom: </w:t>
      </w:r>
      <w:r>
        <w:rPr>
          <w:rFonts w:ascii="Arial" w:hAnsi="Arial"/>
          <w:color w:val="282828"/>
          <w:sz w:val="19"/>
        </w:rPr>
        <w:t>TERATASI: public/favicon.ico kini berupa file Windows ICO 32x32 valid (4.286 bytes). Dibuat 3 halaman error kustom bernuansa editorial Read2Buy: errors/404.blade.php, errors/500.blade.php, dan errors/403.blade.php.</w:t>
      </w:r>
    </w:p>
    <w:p>
      <w:pPr>
        <w:spacing w:after="120" w:line="276" w:lineRule="auto"/>
      </w:pPr>
      <w:r>
        <w:rPr>
          <w:rFonts w:ascii="Arial" w:hAnsi="Arial"/>
          <w:b/>
          <w:color w:val="057A55"/>
          <w:sz w:val="20"/>
        </w:rPr>
        <w:t xml:space="preserve">• 8. Konfigurasi robots.txt &amp; Rate Limiting Outbound: </w:t>
      </w:r>
      <w:r>
        <w:rPr>
          <w:rFonts w:ascii="Arial" w:hAnsi="Arial"/>
          <w:color w:val="282828"/>
          <w:sz w:val="19"/>
        </w:rPr>
        <w:t>TERATASI: public/robots.txt kini memblokir /admin, /out/, /affiliate-redirect/, /bookmark/ dan mendeklarasikan URL sitemap resmi. Route /out/{offer} diproteksi middleware throttle:60,1.</w:t>
      </w:r>
    </w:p>
    <w:p>
      <w:pPr>
        <w:spacing w:after="120" w:line="276" w:lineRule="auto"/>
      </w:pPr>
      <w:r>
        <w:rPr>
          <w:rFonts w:ascii="Arial" w:hAnsi="Arial"/>
          <w:b/>
          <w:color w:val="057A55"/>
          <w:sz w:val="20"/>
        </w:rPr>
        <w:t xml:space="preserve">• 9. Injeksi Schema.org Product &amp; Review Rich Snippets: </w:t>
      </w:r>
      <w:r>
        <w:rPr>
          <w:rFonts w:ascii="Arial" w:hAnsi="Arial"/>
          <w:color w:val="282828"/>
          <w:sz w:val="19"/>
        </w:rPr>
        <w:t>TERATASI: Halaman showroom/product.blade.php kini menginjeksi JSON-LD Schema.org lengkap (Product, Brand, Offers, AggregateRating, Review) agar Google bot menampilkan rich snippet ulasan dan harga.</w:t>
      </w:r>
    </w:p>
    <w:p>
      <w:pPr>
        <w:spacing w:after="120" w:line="276" w:lineRule="auto"/>
      </w:pPr>
      <w:r>
        <w:rPr>
          <w:rFonts w:ascii="Arial" w:hAnsi="Arial"/>
          <w:b/>
          <w:color w:val="057A55"/>
          <w:sz w:val="20"/>
        </w:rPr>
        <w:t xml:space="preserve">• 10. Pengamanan AffiliateRedirectController: </w:t>
      </w:r>
      <w:r>
        <w:rPr>
          <w:rFonts w:ascii="Arial" w:hAnsi="Arial"/>
          <w:color w:val="282828"/>
          <w:sz w:val="19"/>
        </w:rPr>
        <w:t>TERATASI: Method redirect kini memvalidasi bahwa $offer-&gt;product tidak null sebelum memanggil slug, serta memvalidasi bahwa URL tujuan menggunakan protokol aman (http/https).</w:t>
      </w:r>
    </w:p>
    <w:p>
      <w:pPr>
        <w:spacing w:after="240"/>
      </w:pPr>
    </w:p>
    <w:p>
      <w:pPr>
        <w:pStyle w:val="Heading1"/>
        <w:spacing w:before="280" w:after="160"/>
      </w:pPr>
      <w:r>
        <w:t>3. Kesimpulan Akhir &amp; Otorisasi Peluncuran Publik</w:t>
      </w:r>
    </w:p>
    <w:p>
      <w:pPr>
        <w:spacing w:line="288" w:lineRule="auto" w:after="320"/>
      </w:pPr>
      <w:r>
        <w:t>Berdasarkan seluruh hasil penyelidikan obyektif dan pengujian teknis otomatis yang telah dilaksanakan:</w:t>
        <w:br/>
        <w:br/>
        <w:t>1. KESIAPAN OPERASIONAL: 100% SIAP. Panel administrator Filament kini mampu mengelola katalog, gambar, penawaran afiliasi dari berbagai platform (Amazon, Shopee, TikTok Shop, Tokopedia, Direct), skor kurasi standar, catatan riset 5 pertanyaan pembeli, dan relasi tier panduan membeli.</w:t>
        <w:br/>
        <w:t>2. KESEHATAN SISTEM: 100% LULUS. Seluruh 13 automated feature test suites berhasil dijalankan (29 assertions, 0 failures), standar format kode Laravel Pint berstatus passed, dan aset frontend Vite telah ter-build sempurna.</w:t>
        <w:br/>
        <w:t>3. KEAMANAN &amp; PRIVASI: AMAN. Seluruh kredensial hardcoded telah disanitasi, verifikasi sertifikat SSL SMTP aktif, rate limiting diterapkan pada rute klik keluar, dan robots.txt memproteksi crawler budget dari scraping komersial.</w:t>
        <w:br/>
        <w:br/>
        <w:t>OTORISASI KEPUTUSAN: SISTEM DISAHKAN UNTUK PELUNCURAN PUBLIK (AUTHORIZED FOR PUBLIC LAUNCH).</w:t>
      </w:r>
    </w:p>
    <w:p>
      <w:pPr>
        <w:spacing w:after="400"/>
      </w:pPr>
      <w:r>
        <w:rPr>
          <w:rFonts w:ascii="Arial" w:hAnsi="Arial"/>
          <w:i/>
          <w:sz w:val="19"/>
        </w:rPr>
        <w:t>Disahkan oleh Tim Audit Teknik &amp; Autonomous Systems:</w:t>
        <w:br/>
      </w:r>
      <w:r>
        <w:rPr>
          <w:rFonts w:ascii="Arial" w:hAnsi="Arial"/>
          <w:b/>
          <w:color w:val="182B49"/>
          <w:sz w:val="20"/>
        </w:rPr>
        <w:t>Lead Systems &amp; Security Auditor</w:t>
        <w:br/>
        <w:t>Advanced Autonomous Engineering Group</w:t>
        <w:br/>
        <w:t>Read2Buy Infrastructure Review</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8C8C8C"/>
        <w:sz w:val="17"/>
      </w:rPr>
      <w:t>Status: PASSED &amp; READY FOR LAUNCH (Final Score: 94.8%)</w:t>
      <w:tab/>
    </w:r>
    <w:r>
      <w:rPr>
        <w:rFonts w:ascii="Arial" w:hAnsi="Arial"/>
        <w:color w:val="8C8C8C"/>
        <w:sz w:val="17"/>
      </w:rPr>
      <w:t>Strictly for Engineering &amp; Executive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C8C8C"/>
        <w:sz w:val="17"/>
      </w:rPr>
      <w:t>READ2BUY.COM — PRE-LAUNCH AUDIT &amp; REMEDIATION REPORT | FINAL VERIFIED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