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2C5FD" w14:textId="57D44103" w:rsidR="00F11E10" w:rsidRDefault="0094351F" w:rsidP="00F11E10">
      <w:r>
        <w:t xml:space="preserve">, dans le cadre de la mise en œuvre de sa stratégie nationale pour l’accélération de la vaccination, a requis le soutien de l’Alliance Gavi pour la vaccination et bénéficiera d’une enveloppe de </w:t>
      </w:r>
      <w:r w:rsidR="00FB1CAB">
        <w:t>33 millions USD</w:t>
      </w:r>
      <w:r>
        <w:t xml:space="preserve"> sur la période 20</w:t>
      </w:r>
      <w:r w:rsidR="00FB1CAB">
        <w:t>24-2028.</w:t>
      </w:r>
      <w:r w:rsidR="00F11E10">
        <w:t xml:space="preserve"> Dans le but de capitaliser cet investissement colossal, Gavi a engagé GaneshAID pour assurer la coordination du Centre d’apprentissage pour l’équité en matière de vaccination (CAPEV) du Mali dont l’objectif ultime est d’assurer un suivi et un apprentissage systématiques et robustes des interventions IRMMA, en travaillant en collaboration avec le gouvernement, les institutions universitaires locales et les organisations de la société civile (OSC) afin de maximiser l’utilisation des données, l’apprentissage. </w:t>
      </w:r>
    </w:p>
    <w:p w14:paraId="34C95929" w14:textId="217AF511" w:rsidR="0094351F" w:rsidRDefault="00F11E10" w:rsidP="00F11E10">
      <w:r>
        <w:t xml:space="preserve">Cette évaluation rapide de la situation des EZD et ESV est une étape cruciale dans la mise en place du CAPEV. Elle permettra de mesurer les progrès réalisés durant la période 2024-2025 en offrant une situation de référence, et fournira davantage d’informations pour identifier les EZD, les ESV, et les communautés manquées, afin </w:t>
      </w:r>
      <w:r w:rsidR="005F52A8">
        <w:t xml:space="preserve">de favoriser la conception et l’implémentation éclairée par des données probantes, d’interventions efficientes permettant de </w:t>
      </w:r>
      <w:r>
        <w:t>de les atteindre de manière holistique.</w:t>
      </w:r>
    </w:p>
    <w:p w14:paraId="20917713" w14:textId="17A31069" w:rsidR="0094351F" w:rsidRDefault="005F52A8">
      <w:r>
        <w:t xml:space="preserve">Cette étude </w:t>
      </w:r>
      <w:r w:rsidR="0094351F">
        <w:t>a été</w:t>
      </w:r>
      <w:r>
        <w:t xml:space="preserve"> approuvée par le Comité d’Ethique de l’Université des Sciences, des Techniques et des Technologies de Bamako (USTTB) dans sa décision </w:t>
      </w:r>
      <w:r w:rsidR="00290B86">
        <w:t xml:space="preserve">N°2023/230/CE/USTTB en date du 06 novembre 2023, et coordonnée et </w:t>
      </w:r>
      <w:r w:rsidR="0094351F">
        <w:t>exécutée par l</w:t>
      </w:r>
      <w:r>
        <w:t xml:space="preserve">es équipes du CAPEV, </w:t>
      </w:r>
      <w:r w:rsidR="00290B86">
        <w:t xml:space="preserve">en collaboration avec le </w:t>
      </w:r>
      <w:r>
        <w:t>Centre National d’Immunisation</w:t>
      </w:r>
      <w:r w:rsidR="00290B86">
        <w:t xml:space="preserve"> (CNI)</w:t>
      </w:r>
      <w:r>
        <w:t xml:space="preserve"> et l</w:t>
      </w:r>
      <w:r w:rsidR="00290B86">
        <w:t xml:space="preserve">a </w:t>
      </w:r>
      <w:r w:rsidR="00290B86">
        <w:rPr>
          <w:rFonts w:ascii="Calibri" w:hAnsi="Calibri" w:cs="Calibri"/>
          <w:color w:val="000000"/>
        </w:rPr>
        <w:t>Cellule de Planification et Statistique Secteur Santé développement Social, Promotion de la Famille (CPS/SS-DS-PF)</w:t>
      </w:r>
      <w:r w:rsidR="0094351F">
        <w:t xml:space="preserve">. </w:t>
      </w:r>
    </w:p>
    <w:p w14:paraId="7EC0043A" w14:textId="77777777" w:rsidR="0094351F" w:rsidRDefault="0094351F"/>
    <w:p w14:paraId="298AF7AF" w14:textId="01E81787" w:rsidR="0094351F" w:rsidRDefault="0094351F">
      <w:r>
        <w:t>Le financement de l</w:t>
      </w:r>
      <w:r w:rsidR="00290B86">
        <w:t xml:space="preserve">’étude a été assuré par GaneshAID, </w:t>
      </w:r>
      <w:r>
        <w:t xml:space="preserve">par le biais d’un </w:t>
      </w:r>
      <w:r w:rsidR="00290B86">
        <w:t>financement de l’Alliance Gavi, dans le cadre du projet ZDLH</w:t>
      </w:r>
      <w:r>
        <w:t>.</w:t>
      </w:r>
      <w:r w:rsidR="00290B86">
        <w:t xml:space="preserve"> </w:t>
      </w:r>
      <w:r>
        <w:t xml:space="preserve">Depuis l’élaboration du protocole en </w:t>
      </w:r>
      <w:r w:rsidR="001873F1">
        <w:t>septembre</w:t>
      </w:r>
      <w:r>
        <w:t xml:space="preserve"> 20</w:t>
      </w:r>
      <w:r w:rsidR="00290B86">
        <w:t>23</w:t>
      </w:r>
      <w:r>
        <w:t xml:space="preserve"> jusqu’à la publication du présent rapport, le </w:t>
      </w:r>
      <w:r w:rsidR="00290B86">
        <w:t>CAPEV</w:t>
      </w:r>
      <w:r>
        <w:t xml:space="preserve"> a bénéficié de l’assistance technique de </w:t>
      </w:r>
      <w:r w:rsidR="00290B86">
        <w:t>JSI</w:t>
      </w:r>
      <w:r>
        <w:t xml:space="preserve">, une institution américaine en charge </w:t>
      </w:r>
      <w:r w:rsidR="00290B86">
        <w:t>d’accompagner les quatre centres d’apprentissage (Bangladesh, Mali, Nigéria et Ouganda)</w:t>
      </w:r>
      <w:r>
        <w:t xml:space="preserve"> financé par l’</w:t>
      </w:r>
      <w:r w:rsidR="00290B86">
        <w:t>Alliance</w:t>
      </w:r>
      <w:r>
        <w:t xml:space="preserve">. </w:t>
      </w:r>
    </w:p>
    <w:p w14:paraId="3F5646B4" w14:textId="77777777" w:rsidR="0094351F" w:rsidRDefault="0094351F"/>
    <w:p w14:paraId="09CB74C8" w14:textId="3421B3A0" w:rsidR="0094351F" w:rsidRDefault="0094351F">
      <w:r>
        <w:t>Grâce à ce</w:t>
      </w:r>
      <w:r w:rsidR="001873F1">
        <w:t xml:space="preserve"> rapport</w:t>
      </w:r>
      <w:r>
        <w:t xml:space="preserve">, le </w:t>
      </w:r>
      <w:r w:rsidR="001873F1">
        <w:t xml:space="preserve">Mali </w:t>
      </w:r>
      <w:r>
        <w:t>dispose d’indicateurs fiables et actualisés sur</w:t>
      </w:r>
      <w:r w:rsidR="001873F1">
        <w:t xml:space="preserve"> la situation des EZD, les ESV et les communautés manquées</w:t>
      </w:r>
      <w:r>
        <w:t>, entre autres</w:t>
      </w:r>
      <w:r w:rsidR="001873F1">
        <w:t xml:space="preserve"> sur leur nombre, leur répartition, les barrières à leur accès équitable à des services de vaccination de qualité, les interventions menées afin de mitiger ces barrières et celles qui sont envisageables afin d’accroitre et d’accélérer l’équité en vaccination en particulier, et d’atteindre les </w:t>
      </w:r>
      <w:r>
        <w:t xml:space="preserve">Objectifs de Développement Durable (ODD) </w:t>
      </w:r>
      <w:r w:rsidR="001873F1">
        <w:t>en matière de santé publique</w:t>
      </w:r>
      <w:r>
        <w:t xml:space="preserve">. </w:t>
      </w:r>
    </w:p>
    <w:p w14:paraId="3E2694EC" w14:textId="77777777" w:rsidR="0094351F" w:rsidRDefault="0094351F"/>
    <w:p w14:paraId="34E354DD" w14:textId="3C8AF5FD" w:rsidR="0094351F" w:rsidRDefault="001873F1">
      <w:r>
        <w:t xml:space="preserve">Nous </w:t>
      </w:r>
      <w:r w:rsidR="0094351F">
        <w:t>exhort</w:t>
      </w:r>
      <w:r>
        <w:t>ons</w:t>
      </w:r>
      <w:r w:rsidR="0094351F">
        <w:t xml:space="preserve"> les responsables à divers niveaux et les chercheurs à s’approprier les résultats de ce travail dans les domaines qui les concernent, comme </w:t>
      </w:r>
      <w:r>
        <w:t>un</w:t>
      </w:r>
      <w:r w:rsidR="0094351F">
        <w:t xml:space="preserve"> cadre de référence pour l’évaluation et la mise en œuvre des programmes </w:t>
      </w:r>
      <w:r>
        <w:t>pro</w:t>
      </w:r>
      <w:r w:rsidR="0069712F">
        <w:t>-</w:t>
      </w:r>
      <w:r>
        <w:t>équité vaccinale</w:t>
      </w:r>
      <w:r w:rsidR="0094351F">
        <w:t xml:space="preserve">, pour une meilleure planification de leurs activités et des interventions plus efficaces en vue d’arriver à un changement réel de l’état de santé et des conditions de vie de la population. </w:t>
      </w:r>
    </w:p>
    <w:p w14:paraId="52134BF5" w14:textId="77777777" w:rsidR="0094351F" w:rsidRDefault="0094351F"/>
    <w:p w14:paraId="7A54383D" w14:textId="039D1713" w:rsidR="004E3F23" w:rsidRDefault="0094351F">
      <w:r>
        <w:t xml:space="preserve">Enfin, </w:t>
      </w:r>
      <w:r w:rsidR="0069712F">
        <w:t>nous exprimons notre</w:t>
      </w:r>
      <w:r>
        <w:t xml:space="preserve"> vive gratitude à l’</w:t>
      </w:r>
      <w:r w:rsidR="0069712F">
        <w:t>endroit de GaneshAID et de Gavi</w:t>
      </w:r>
      <w:r>
        <w:t>, dont</w:t>
      </w:r>
      <w:r w:rsidR="0069712F">
        <w:t xml:space="preserve"> l’accompagnement technique et</w:t>
      </w:r>
      <w:r>
        <w:t xml:space="preserve"> les contributions financières ont permis l’aboutissement de ce précieux travail.</w:t>
      </w:r>
    </w:p>
    <w:sectPr w:rsidR="004E3F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4351F"/>
    <w:rsid w:val="001873F1"/>
    <w:rsid w:val="00290B86"/>
    <w:rsid w:val="004E3F23"/>
    <w:rsid w:val="004F2666"/>
    <w:rsid w:val="005F52A8"/>
    <w:rsid w:val="0069712F"/>
    <w:rsid w:val="00806B8F"/>
    <w:rsid w:val="0094351F"/>
    <w:rsid w:val="00966715"/>
    <w:rsid w:val="00F11E10"/>
    <w:rsid w:val="00FB1C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D41D0"/>
  <w15:docId w15:val="{88DAE7B5-D637-424A-9EA6-2DFCA90B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9968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502</Words>
  <Characters>2766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ADJAKIDJE Didier</dc:creator>
  <cp:keywords/>
  <dc:description/>
  <cp:lastModifiedBy>Didier Adjakidje</cp:lastModifiedBy>
  <cp:revision>4</cp:revision>
  <dcterms:created xsi:type="dcterms:W3CDTF">2024-02-06T02:17:00Z</dcterms:created>
  <dcterms:modified xsi:type="dcterms:W3CDTF">2025-04-04T08:08:00Z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9f1897e8-6479-4387-863f-111332faceb1</vt:lpwstr>
  </property>
</Properties>
</file>