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674812AA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SISTEMA PARA CONTROLE DE LOJAS ON-LINE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3F30504F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Recife</w:t>
      </w:r>
    </w:p>
    <w:p w14:paraId="52E3B5FB" w14:textId="45367B3B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E32BAE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C3E569" w14:textId="40113303" w:rsidR="00BC4D8B" w:rsidRPr="007C0034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BC4D8B" w:rsidRPr="00372F16">
        <w:t>1. Apresentação</w:t>
      </w:r>
      <w:r w:rsidR="00BC4D8B">
        <w:tab/>
      </w:r>
      <w:r w:rsidR="00BC4D8B">
        <w:fldChar w:fldCharType="begin"/>
      </w:r>
      <w:r w:rsidR="00BC4D8B">
        <w:instrText xml:space="preserve"> PAGEREF _Toc127551065 \h </w:instrText>
      </w:r>
      <w:r w:rsidR="00BC4D8B">
        <w:fldChar w:fldCharType="separate"/>
      </w:r>
      <w:r w:rsidR="00BC4D8B">
        <w:t>3</w:t>
      </w:r>
      <w:r w:rsidR="00BC4D8B">
        <w:fldChar w:fldCharType="end"/>
      </w:r>
    </w:p>
    <w:p w14:paraId="2244B06F" w14:textId="0C8F9D25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1.1. </w:t>
      </w:r>
      <w:r w:rsidRPr="00372F16">
        <w:rPr>
          <w:rFonts w:cs="Arial"/>
          <w:noProof/>
          <w:color w:val="FF0000"/>
          <w:lang w:eastAsia="pt-BR"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14A25" w14:textId="2168266B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F653A5" w14:textId="334D1ABE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color w:val="FF0000"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3B17E" w14:textId="765A7F43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2. Modelagem</w:t>
      </w:r>
      <w:r>
        <w:tab/>
      </w:r>
      <w:r>
        <w:fldChar w:fldCharType="begin"/>
      </w:r>
      <w:r>
        <w:instrText xml:space="preserve"> PAGEREF _Toc127551069 \h </w:instrText>
      </w:r>
      <w:r>
        <w:fldChar w:fldCharType="separate"/>
      </w:r>
      <w:r>
        <w:t>3</w:t>
      </w:r>
      <w:r>
        <w:fldChar w:fldCharType="end"/>
      </w:r>
    </w:p>
    <w:p w14:paraId="78ECEC5D" w14:textId="1792B057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2.1. </w:t>
      </w:r>
      <w:r w:rsidRPr="00372F16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49177" w14:textId="0ABC69F9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 xml:space="preserve">2.2. </w:t>
      </w:r>
      <w:r w:rsidRPr="00372F16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BD4870" w14:textId="5941FF86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372F16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0D217" w14:textId="3298A5B1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372F16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8C1A6" w14:textId="3438F90C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372F16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A02E6" w14:textId="6BD92065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3. Projeto</w:t>
      </w:r>
      <w:r>
        <w:tab/>
      </w:r>
      <w:r>
        <w:fldChar w:fldCharType="begin"/>
      </w:r>
      <w:r>
        <w:instrText xml:space="preserve"> PAGEREF _Toc127551075 \h </w:instrText>
      </w:r>
      <w:r>
        <w:fldChar w:fldCharType="separate"/>
      </w:r>
      <w:r>
        <w:t>4</w:t>
      </w:r>
      <w:r>
        <w:fldChar w:fldCharType="end"/>
      </w:r>
    </w:p>
    <w:p w14:paraId="6C9E2CA9" w14:textId="249505EA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372F16">
        <w:rPr>
          <w:noProof/>
          <w:color w:val="FF0000"/>
          <w:lang w:eastAsia="pt-BR"/>
        </w:rPr>
        <w:t xml:space="preserve">Arquitetura de </w:t>
      </w:r>
      <w:r w:rsidRPr="00372F16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43A05" w14:textId="6EF451E0" w:rsidR="00BC4D8B" w:rsidRPr="007C0034" w:rsidRDefault="00BC4D8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29794" w14:textId="67B4F32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DC05D" w14:textId="67CB74BF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_Toc127551079 \h </w:instrText>
      </w:r>
      <w:r>
        <w:fldChar w:fldCharType="separate"/>
      </w:r>
      <w:r>
        <w:t>5</w:t>
      </w:r>
      <w:r>
        <w:fldChar w:fldCharType="end"/>
      </w:r>
    </w:p>
    <w:p w14:paraId="6B998114" w14:textId="147C4EFF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372F16">
        <w:t>s</w:t>
      </w:r>
      <w:r>
        <w:tab/>
      </w:r>
      <w:r>
        <w:fldChar w:fldCharType="begin"/>
      </w:r>
      <w:r>
        <w:instrText xml:space="preserve"> PAGEREF _Toc127551080 \h </w:instrText>
      </w:r>
      <w:r>
        <w:fldChar w:fldCharType="separate"/>
      </w:r>
      <w:r>
        <w:t>6</w:t>
      </w:r>
      <w:r>
        <w:fldChar w:fldCharType="end"/>
      </w:r>
    </w:p>
    <w:p w14:paraId="7AF9DF89" w14:textId="45C07FFB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193F6" w14:textId="69D1BC2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634AF" w14:textId="34D08E1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00221" w14:textId="2AC60174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_Toc127551084 \h </w:instrText>
      </w:r>
      <w:r>
        <w:fldChar w:fldCharType="separate"/>
      </w:r>
      <w:r>
        <w:t>7</w:t>
      </w:r>
      <w:r>
        <w:fldChar w:fldCharType="end"/>
      </w:r>
    </w:p>
    <w:p w14:paraId="4D4B0846" w14:textId="4B08697E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551065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551066"/>
      <w:r w:rsidRPr="000D402F">
        <w:rPr>
          <w:rFonts w:cs="Arial"/>
          <w:szCs w:val="24"/>
          <w:lang w:val="pt-BR" w:eastAsia="pt-BR"/>
        </w:rPr>
        <w:t xml:space="preserve">1.1. </w:t>
      </w:r>
      <w:r w:rsidRPr="00CA47A9">
        <w:rPr>
          <w:rFonts w:cs="Arial"/>
          <w:color w:val="FF0000"/>
          <w:szCs w:val="24"/>
          <w:lang w:val="pt-BR" w:eastAsia="pt-BR"/>
        </w:rPr>
        <w:t>Contexto</w:t>
      </w:r>
      <w:bookmarkEnd w:id="1"/>
      <w:bookmarkEnd w:id="2"/>
    </w:p>
    <w:p w14:paraId="58E94697" w14:textId="77777777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3B4CBFA2"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0A6086EB" w14:textId="4AFCFE8E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7551067"/>
      <w:r>
        <w:rPr>
          <w:rFonts w:cs="Arial"/>
          <w:szCs w:val="24"/>
          <w:lang w:val="pt-BR" w:eastAsia="pt-BR"/>
        </w:rPr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CA47A9" w:rsidRDefault="00DD0A24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4" w:name="_Toc127551068"/>
      <w:r>
        <w:rPr>
          <w:rFonts w:cs="Arial"/>
          <w:color w:val="FF0000"/>
          <w:szCs w:val="24"/>
          <w:lang w:val="pt-BR" w:eastAsia="pt-BR"/>
        </w:rPr>
        <w:t>1.3</w:t>
      </w:r>
      <w:r w:rsidR="00CD00A4" w:rsidRPr="00CA47A9">
        <w:rPr>
          <w:rFonts w:cs="Arial"/>
          <w:color w:val="FF0000"/>
          <w:szCs w:val="24"/>
          <w:lang w:val="pt-BR" w:eastAsia="pt-BR"/>
        </w:rPr>
        <w:t>. Requisitos</w:t>
      </w:r>
      <w:bookmarkEnd w:id="4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127551069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755107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7551071"/>
      <w:r w:rsidRPr="000D402F">
        <w:rPr>
          <w:lang w:val="pt-BR" w:eastAsia="pt-BR"/>
        </w:rPr>
        <w:lastRenderedPageBreak/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7551072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7551073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7551074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7551075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127551076"/>
      <w:r>
        <w:rPr>
          <w:lang w:eastAsia="pt-BR"/>
        </w:rPr>
        <w:t xml:space="preserve">3.1. </w:t>
      </w:r>
      <w:r w:rsidRPr="009C4A37">
        <w:rPr>
          <w:color w:val="FF0000"/>
          <w:lang w:eastAsia="pt-BR"/>
        </w:rPr>
        <w:t>Arquitetura d</w:t>
      </w:r>
      <w:r w:rsidR="00683072" w:rsidRPr="009C4A37">
        <w:rPr>
          <w:color w:val="FF0000"/>
          <w:lang w:val="pt-BR" w:eastAsia="pt-BR"/>
        </w:rPr>
        <w:t>e</w:t>
      </w:r>
      <w:r w:rsidRPr="009C4A37">
        <w:rPr>
          <w:color w:val="FF0000"/>
          <w:lang w:eastAsia="pt-BR"/>
        </w:rPr>
        <w:t xml:space="preserve"> </w:t>
      </w:r>
      <w:r w:rsidR="00683072" w:rsidRPr="009C4A37">
        <w:rPr>
          <w:i/>
          <w:color w:val="FF0000"/>
          <w:lang w:val="pt-BR" w:eastAsia="pt-BR"/>
        </w:rPr>
        <w:t>software</w:t>
      </w:r>
      <w:bookmarkEnd w:id="12"/>
    </w:p>
    <w:p w14:paraId="785DFEF3" w14:textId="4066C213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3" w:name="_Toc127551077"/>
      <w:r>
        <w:rPr>
          <w:lang w:eastAsia="pt-BR"/>
        </w:rPr>
        <w:lastRenderedPageBreak/>
        <w:t>3.1.1. Definição do Framework de Trabalho</w:t>
      </w:r>
      <w:bookmarkEnd w:id="13"/>
    </w:p>
    <w:p w14:paraId="413022DA" w14:textId="77777777" w:rsidR="00251DAB" w:rsidRDefault="00251DA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</w:t>
      </w:r>
      <w:r w:rsidR="008620F7">
        <w:rPr>
          <w:rFonts w:ascii="Arial" w:hAnsi="Arial" w:cs="Arial"/>
          <w:sz w:val="24"/>
          <w:szCs w:val="24"/>
        </w:rPr>
        <w:t>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r>
        <w:rPr>
          <w:lang w:eastAsia="pt-BR"/>
        </w:rPr>
        <w:t>3.1.1.</w:t>
      </w:r>
      <w:r w:rsidR="0054491C">
        <w:rPr>
          <w:lang w:eastAsia="pt-BR"/>
        </w:rPr>
        <w:t>1</w:t>
      </w:r>
      <w:r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eastAsia="pt-BR"/>
        </w:rPr>
        <w:t>Framework Front End</w:t>
      </w:r>
    </w:p>
    <w:p w14:paraId="144B2F7F" w14:textId="77777777" w:rsidR="0035660D" w:rsidRDefault="0035660D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definido o framework, é importante a </w:t>
      </w:r>
      <w:r>
        <w:rPr>
          <w:rFonts w:ascii="Arial" w:hAnsi="Arial" w:cs="Arial"/>
          <w:sz w:val="24"/>
          <w:szCs w:val="24"/>
        </w:rPr>
        <w:t>escolha de uma biblioteca</w:t>
      </w:r>
      <w:r>
        <w:rPr>
          <w:rFonts w:ascii="Arial" w:hAnsi="Arial" w:cs="Arial"/>
          <w:sz w:val="24"/>
          <w:szCs w:val="24"/>
        </w:rPr>
        <w:t xml:space="preserve"> de componentes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acelera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desenvolvimento da aplicação</w:t>
      </w:r>
      <w:r>
        <w:rPr>
          <w:rFonts w:ascii="Arial" w:hAnsi="Arial" w:cs="Arial"/>
          <w:sz w:val="24"/>
          <w:szCs w:val="24"/>
        </w:rPr>
        <w:t>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instituição patrocinadora do aluno</w:t>
      </w:r>
      <w:r>
        <w:rPr>
          <w:rFonts w:ascii="Arial" w:hAnsi="Arial" w:cs="Arial"/>
          <w:sz w:val="24"/>
          <w:szCs w:val="24"/>
        </w:rPr>
        <w:t xml:space="preserve"> não poderia ser utilizada devido </w:t>
      </w:r>
      <w:r>
        <w:rPr>
          <w:rFonts w:ascii="Arial" w:hAnsi="Arial" w:cs="Arial"/>
          <w:sz w:val="24"/>
          <w:szCs w:val="24"/>
        </w:rPr>
        <w:t>as regras de sigilo e propriedade intelectual</w:t>
      </w:r>
      <w:r>
        <w:rPr>
          <w:rFonts w:ascii="Arial" w:hAnsi="Arial" w:cs="Arial"/>
          <w:sz w:val="24"/>
          <w:szCs w:val="24"/>
        </w:rPr>
        <w:t xml:space="preserve">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lastRenderedPageBreak/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 xml:space="preserve">. Framework </w:t>
      </w:r>
      <w:r>
        <w:rPr>
          <w:lang w:eastAsia="pt-BR"/>
        </w:rPr>
        <w:t>Back</w:t>
      </w:r>
      <w:r>
        <w:rPr>
          <w:lang w:eastAsia="pt-BR"/>
        </w:rPr>
        <w:t xml:space="preserve"> End</w:t>
      </w:r>
    </w:p>
    <w:p w14:paraId="28C4278E" w14:textId="77777777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i adotada a seguinte tecnologia</w:t>
      </w:r>
      <w:r>
        <w:rPr>
          <w:rFonts w:ascii="Arial" w:hAnsi="Arial" w:cs="Arial"/>
          <w:sz w:val="24"/>
          <w:szCs w:val="24"/>
        </w:rPr>
        <w:t>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4" w:name="_Toc127551078"/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</w:t>
      </w:r>
      <w:r w:rsidR="008620F7" w:rsidRPr="008620F7">
        <w:rPr>
          <w:rFonts w:ascii="Arial" w:hAnsi="Arial" w:cs="Arial"/>
          <w:sz w:val="24"/>
          <w:szCs w:val="24"/>
        </w:rPr>
        <w:t xml:space="preserve"> baseado em um modelo de E/S não bloqueante e orientado a eventos, torna </w:t>
      </w:r>
      <w:r w:rsidR="008620F7" w:rsidRPr="008620F7">
        <w:rPr>
          <w:rFonts w:ascii="Arial" w:hAnsi="Arial" w:cs="Arial"/>
          <w:sz w:val="24"/>
          <w:szCs w:val="24"/>
        </w:rPr>
        <w:t xml:space="preserve">se </w:t>
      </w:r>
      <w:r w:rsidR="008620F7" w:rsidRPr="008620F7">
        <w:rPr>
          <w:rFonts w:ascii="Arial" w:hAnsi="Arial" w:cs="Arial"/>
          <w:sz w:val="24"/>
          <w:szCs w:val="24"/>
        </w:rPr>
        <w:t>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45E3C3B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escolha desta arquitetura </w:t>
      </w:r>
      <w:r>
        <w:rPr>
          <w:rFonts w:ascii="Arial" w:hAnsi="Arial" w:cs="Arial"/>
          <w:sz w:val="24"/>
          <w:szCs w:val="24"/>
        </w:rPr>
        <w:t xml:space="preserve">permitirá a criação de um ambiente de alta disponibilidade, escalável e com baixo consumo de recursos computacionais. Além disso, </w:t>
      </w:r>
      <w:r>
        <w:rPr>
          <w:rFonts w:ascii="Arial" w:hAnsi="Arial" w:cs="Arial"/>
          <w:sz w:val="24"/>
          <w:szCs w:val="24"/>
        </w:rPr>
        <w:t>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t>3.1.1.</w:t>
      </w:r>
      <w:r>
        <w:rPr>
          <w:lang w:eastAsia="pt-BR"/>
        </w:rPr>
        <w:t>3</w:t>
      </w:r>
      <w:r>
        <w:rPr>
          <w:lang w:eastAsia="pt-BR"/>
        </w:rPr>
        <w:t xml:space="preserve">. </w:t>
      </w:r>
      <w:r>
        <w:rPr>
          <w:lang w:eastAsia="pt-BR"/>
        </w:rPr>
        <w:t>Persistência</w:t>
      </w:r>
    </w:p>
    <w:p w14:paraId="03209C2F" w14:textId="77777777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 persistência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0D0C6B3C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características fazem 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 xml:space="preserve"> uma ótima solução para a persistência da</w:t>
      </w:r>
      <w:r w:rsidR="009C1CFD">
        <w:rPr>
          <w:rFonts w:ascii="Arial" w:hAnsi="Arial" w:cs="Arial"/>
          <w:sz w:val="24"/>
          <w:szCs w:val="24"/>
        </w:rPr>
        <w:t xml:space="preserve"> aplicação.</w:t>
      </w:r>
      <w:bookmarkStart w:id="15" w:name="_GoBack"/>
      <w:bookmarkEnd w:id="15"/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r>
        <w:rPr>
          <w:lang w:eastAsia="pt-BR"/>
        </w:rPr>
        <w:t>3.2. Arquitetura da informação</w:t>
      </w:r>
      <w:bookmarkEnd w:id="14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127551079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127551080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127551081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12755108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127551083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127551084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3BF1" w14:textId="77777777" w:rsidR="007C0034" w:rsidRDefault="007C0034" w:rsidP="0066706F">
      <w:pPr>
        <w:spacing w:after="0" w:line="240" w:lineRule="auto"/>
      </w:pPr>
      <w:r>
        <w:separator/>
      </w:r>
    </w:p>
  </w:endnote>
  <w:endnote w:type="continuationSeparator" w:id="0">
    <w:p w14:paraId="7A507272" w14:textId="77777777" w:rsidR="007C0034" w:rsidRDefault="007C003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02DC" w14:textId="77777777" w:rsidR="007C0034" w:rsidRDefault="007C0034" w:rsidP="0066706F">
      <w:pPr>
        <w:spacing w:after="0" w:line="240" w:lineRule="auto"/>
      </w:pPr>
      <w:r>
        <w:separator/>
      </w:r>
    </w:p>
  </w:footnote>
  <w:footnote w:type="continuationSeparator" w:id="0">
    <w:p w14:paraId="18A08344" w14:textId="77777777" w:rsidR="007C0034" w:rsidRDefault="007C003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1434C24C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C1CFD">
      <w:rPr>
        <w:noProof/>
      </w:rPr>
      <w:t>7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22"/>
  </w:num>
  <w:num w:numId="5">
    <w:abstractNumId w:val="7"/>
  </w:num>
  <w:num w:numId="6">
    <w:abstractNumId w:val="16"/>
  </w:num>
  <w:num w:numId="7">
    <w:abstractNumId w:val="14"/>
  </w:num>
  <w:num w:numId="8">
    <w:abstractNumId w:val="23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30285"/>
    <w:rsid w:val="008369F8"/>
    <w:rsid w:val="00852237"/>
    <w:rsid w:val="008620F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47A9"/>
    <w:rsid w:val="00CA602E"/>
    <w:rsid w:val="00CB3164"/>
    <w:rsid w:val="00CD00A4"/>
    <w:rsid w:val="00CD7302"/>
    <w:rsid w:val="00CF044C"/>
    <w:rsid w:val="00CF7226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1594</Words>
  <Characters>8611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10185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17</cp:revision>
  <cp:lastPrinted>2013-03-18T18:49:00Z</cp:lastPrinted>
  <dcterms:created xsi:type="dcterms:W3CDTF">2019-06-10T02:33:00Z</dcterms:created>
  <dcterms:modified xsi:type="dcterms:W3CDTF">2023-02-17T23:54:00Z</dcterms:modified>
</cp:coreProperties>
</file>