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color w:val="002855"/>
          <w:sz w:val="40"/>
        </w:rPr>
        <w:t>RBI Consumer Complaint Analytics</w:t>
        <w:br/>
        <w:t>Monthly Executive Summary</w:t>
      </w:r>
    </w:p>
    <w:p>
      <w:pPr>
        <w:spacing w:after="480"/>
        <w:jc w:val="center"/>
      </w:pPr>
      <w:r>
        <w:rPr>
          <w:i/>
          <w:color w:val="4B5F7F"/>
          <w:sz w:val="20"/>
        </w:rPr>
        <w:t>Supervisory Period: December 2024  |  Generated on: 2026-06-30</w:t>
      </w:r>
    </w:p>
    <w:p>
      <w:pPr>
        <w:spacing w:after="120"/>
      </w:pPr>
    </w:p>
    <w:p>
      <w:pPr>
        <w:spacing w:before="360" w:after="160"/>
      </w:pPr>
      <w:r>
        <w:rPr>
          <w:b/>
          <w:color w:val="002855"/>
          <w:sz w:val="28"/>
        </w:rPr>
        <w:t>1. Key Supervisory Statistics</w:t>
      </w:r>
    </w:p>
    <w:p>
      <w:r>
        <w:rPr>
          <w:color w:val="333333"/>
        </w:rPr>
        <w:t xml:space="preserve">During the monitoring month of </w:t>
      </w:r>
      <w:r>
        <w:rPr>
          <w:b/>
        </w:rPr>
        <w:t>December 2024</w:t>
      </w:r>
      <w:r>
        <w:t xml:space="preserve">, a total of </w:t>
      </w:r>
      <w:r>
        <w:rPr>
          <w:b/>
        </w:rPr>
        <w:t>393 complaints</w:t>
      </w:r>
      <w:r>
        <w:t xml:space="preserve"> were ingested and analyzed across all monitored financial institutions. The system-wide metrics are outlined below:</w:t>
      </w:r>
    </w:p>
    <w:p>
      <w:pPr>
        <w:pStyle w:val="ListBullet"/>
        <w:spacing w:before="40" w:after="40"/>
      </w:pPr>
      <w:r>
        <w:rPr>
          <w:b/>
        </w:rPr>
        <w:t xml:space="preserve">Grievance Resolution Rate: </w:t>
      </w:r>
      <w:r>
        <w:rPr>
          <w:b/>
        </w:rPr>
        <w:t>82.2%</w:t>
      </w:r>
      <w:r>
        <w:t xml:space="preserve"> (323 resolved, 70 pending/escalated).</w:t>
      </w:r>
    </w:p>
    <w:p>
      <w:pPr>
        <w:pStyle w:val="ListBullet"/>
        <w:spacing w:before="40" w:after="40"/>
      </w:pPr>
      <w:r>
        <w:rPr>
          <w:b/>
        </w:rPr>
        <w:t xml:space="preserve">Mean Resolution Velocity: </w:t>
      </w:r>
      <w:r>
        <w:rPr>
          <w:b/>
        </w:rPr>
        <w:t>41.3 days</w:t>
      </w:r>
      <w:r>
        <w:t xml:space="preserve"> for resolved grievances.</w:t>
      </w:r>
    </w:p>
    <w:p>
      <w:pPr>
        <w:pStyle w:val="ListBullet"/>
        <w:spacing w:before="40" w:after="80"/>
      </w:pPr>
      <w:r>
        <w:rPr>
          <w:b/>
        </w:rPr>
        <w:t xml:space="preserve">Top 3 Complaint Categories: </w:t>
      </w:r>
      <w:r>
        <w:t>Digital Banking Fraud (258 complaints), ATM/Debit Card Issues (180 complaints), Loan &amp; EMI Disputes (120 complaints)</w:t>
      </w:r>
    </w:p>
    <w:p>
      <w:pPr>
        <w:spacing w:before="360" w:after="160"/>
      </w:pPr>
      <w:r>
        <w:rPr>
          <w:b/>
          <w:color w:val="002855"/>
          <w:sz w:val="28"/>
        </w:rPr>
        <w:t>2. Institutions Requiring Supervisory Attention</w:t>
      </w:r>
    </w:p>
    <w:p>
      <w:r>
        <w:t>The following commercial banks have demonstrated critical backlogs, specifically containing complaints pending resolution for longer than 60 days. Direct supervisory checks are advised:</w:t>
      </w:r>
    </w:p>
    <w:p>
      <w:pPr>
        <w:spacing w:after="160"/>
      </w:pPr>
      <w:r>
        <w:t>No commercial banks exceeded the critical pendency backlog thresholds for this period.</w:t>
      </w:r>
    </w:p>
    <w:p>
      <w:pPr>
        <w:spacing w:before="360" w:after="160"/>
      </w:pPr>
      <w:r>
        <w:rPr>
          <w:b/>
          <w:color w:val="002855"/>
          <w:sz w:val="28"/>
        </w:rPr>
        <w:t>3. Emerging Grievance Trends (QoQ)</w:t>
      </w:r>
    </w:p>
    <w:p>
      <w:r>
        <w:t>Quarter-over-Quarter trend analysis shows that consumer complaints in the following categories have expanded rapidly, signaling potential systemic product mis-selling or card safety failures:</w:t>
      </w:r>
    </w:p>
    <w:p>
      <w:pPr>
        <w:pStyle w:val="ListBullet"/>
        <w:spacing w:after="40"/>
      </w:pPr>
      <w:r>
        <w:rPr>
          <w:b/>
        </w:rPr>
        <w:t xml:space="preserve">Foreign Exchange: </w:t>
      </w:r>
      <w:r>
        <w:t xml:space="preserve">Spiked by </w:t>
      </w:r>
      <w:r>
        <w:rPr>
          <w:b/>
        </w:rPr>
        <w:t>81.82% QoQ</w:t>
      </w:r>
      <w:r>
        <w:t xml:space="preserve"> (increased from 66 to 120 counts).</w:t>
      </w:r>
    </w:p>
    <w:p>
      <w:pPr>
        <w:pStyle w:val="ListBullet"/>
        <w:spacing w:after="40"/>
      </w:pPr>
      <w:r>
        <w:rPr>
          <w:b/>
        </w:rPr>
        <w:t xml:space="preserve">Mobile Banking: </w:t>
      </w:r>
      <w:r>
        <w:t xml:space="preserve">Spiked by </w:t>
      </w:r>
      <w:r>
        <w:rPr>
          <w:b/>
        </w:rPr>
        <w:t>33.33% QoQ</w:t>
      </w:r>
      <w:r>
        <w:t xml:space="preserve"> (increased from 207 to 276 counts).</w:t>
      </w:r>
    </w:p>
    <w:p>
      <w:pPr>
        <w:spacing w:before="360" w:after="160"/>
      </w:pPr>
      <w:r>
        <w:rPr>
          <w:b/>
          <w:color w:val="002855"/>
          <w:sz w:val="28"/>
        </w:rPr>
        <w:t>4. Statistical Volume Projections</w:t>
      </w:r>
    </w:p>
    <w:p>
      <w:r>
        <w:t xml:space="preserve">Using the SARIMA forecasting model, the projected complaint volume for the upcoming month is estimated at </w:t>
      </w:r>
      <w:r>
        <w:rPr>
          <w:b/>
        </w:rPr>
        <w:t>367 complaints</w:t>
      </w:r>
      <w:r>
        <w:t>. RBI ombudsman offices should adjust resource allocation to handle this projected volume.</w:t>
      </w:r>
    </w:p>
    <w:p>
      <w:pPr>
        <w:spacing w:before="360" w:after="160"/>
      </w:pPr>
      <w:r>
        <w:rPr>
          <w:b/>
          <w:color w:val="002855"/>
          <w:sz w:val="28"/>
        </w:rPr>
        <w:t>5. Policy and Regulatory Recommendations</w:t>
      </w:r>
    </w:p>
    <w:p>
      <w:pPr>
        <w:pStyle w:val="ListBullet"/>
        <w:spacing w:before="80" w:after="60"/>
      </w:pPr>
      <w:r>
        <w:rPr>
          <w:b/>
        </w:rPr>
        <w:t xml:space="preserve">Strengthen Digital Fraud Audits: </w:t>
      </w:r>
      <w:r>
        <w:t>Given the persistent surge in Digital Banking Fraud, the Department of Regulation should enforce tighter transaction limits and two-factor authentication checks on newer mobile wallets.</w:t>
      </w:r>
    </w:p>
    <w:p>
      <w:pPr>
        <w:pStyle w:val="ListBullet"/>
        <w:spacing w:after="60"/>
      </w:pPr>
      <w:r>
        <w:rPr>
          <w:b/>
        </w:rPr>
        <w:t xml:space="preserve">Issue Supervisory Mandate to Slow Resolving Banks: </w:t>
      </w:r>
      <w:r>
        <w:t>Send supervisory notices to banks with average resolution times exceeding 60 days to audit their internal grievance redressal mechanism.</w:t>
      </w:r>
    </w:p>
    <w:p>
      <w:pPr>
        <w:pStyle w:val="ListBullet"/>
        <w:spacing w:after="240"/>
      </w:pPr>
      <w:r>
        <w:rPr>
          <w:b/>
        </w:rPr>
        <w:t xml:space="preserve">Enforce Mis-selling Penalties: </w:t>
      </w:r>
      <w:r>
        <w:t>Conduct spot-checks and field audits on branches bundling insurance products with loans, especially at public sector commercial banks showing rising trend flags.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4B5F7F"/>
        <w:sz w:val="17"/>
      </w:rPr>
      <w:t>Prepared by FinCompass Analytics Platform | Department of Supervision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