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w:r>
        <w:t xml:space="preserve">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&gt; Ci = Pi</w:t>
      </w:r>
      <w:r>
        <w:t xml:space="preserve"> </w:t>
      </w:r>
      <w:r>
        <w:t xml:space="preserve">Ki,</w:t>
      </w:r>
    </w:p>
    <w:p>
      <w:pPr>
        <w:pStyle w:val="BodyText"/>
      </w:pPr>
      <w:r>
        <w:t xml:space="preserve">где Ci — i-й символ получившегося зашифрованного послания, Pi — i-й cимвол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через формулу, а именно, обе части равенства необходимо сложить по модулю 2 с Pi:</w:t>
      </w:r>
      <w:r>
        <w:t xml:space="preserve"> </w:t>
      </w:r>
      <w:r>
        <w:t xml:space="preserve">&gt; Ci</w:t>
      </w:r>
      <w:r>
        <w:t xml:space="preserve"> </w:t>
      </w:r>
      <w:r>
        <w:t xml:space="preserve">Pi = Pi</w:t>
      </w:r>
      <w:r>
        <w:t xml:space="preserve"> </w:t>
      </w:r>
      <w:r>
        <w:t xml:space="preserve">Ki</w:t>
      </w:r>
      <w:r>
        <w:t xml:space="preserve"> </w:t>
      </w:r>
      <w:r>
        <w:t xml:space="preserve">Pi = Ki,</w:t>
      </w:r>
      <w:r>
        <w:t xml:space="preserve"> </w:t>
      </w:r>
      <w:r>
        <w:t xml:space="preserve">&gt; Ki = Ci</w:t>
      </w:r>
      <w:r>
        <w:t xml:space="preserve"> </w:t>
      </w:r>
      <w:r>
        <w:t xml:space="preserve">Pi.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код (рис. ??, ??), который определяет вид шифротекста при известном ключе и известном открытом тексте, а также определяет ключ.</w:t>
      </w:r>
    </w:p>
    <w:p>
      <w:pPr>
        <w:pStyle w:val="CaptionedFigure"/>
      </w:pPr>
      <w:r>
        <w:drawing>
          <wp:inline>
            <wp:extent cx="4267200" cy="3614705"/>
            <wp:effectExtent b="0" l="0" r="0" t="0"/>
            <wp:docPr descr="Первая часть алгоритм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1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 алгоритма</w:t>
      </w:r>
    </w:p>
    <w:p>
      <w:pPr>
        <w:pStyle w:val="CaptionedFigure"/>
      </w:pPr>
      <w:r>
        <w:drawing>
          <wp:inline>
            <wp:extent cx="4267200" cy="2520708"/>
            <wp:effectExtent b="0" l="0" r="0" t="0"/>
            <wp:docPr descr="Вторая часть алгоритм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2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 алгоритма</w:t>
      </w:r>
    </w:p>
    <w:p>
      <w:pPr>
        <w:pStyle w:val="BodyText"/>
      </w:pPr>
      <w:r>
        <w:t xml:space="preserve">Мой код преобразет текст, написанный в нижнем регистре, поэтому первоначальную фразу я сделала таковой, командой lower(). Далее проверила, чтобы текст для шифровки также состоял из такого же количества символов и запустила программу. Результат: ысэндллттбун,ф!ц!ьциг!</w:t>
      </w:r>
    </w:p>
    <w:p>
      <w:pPr>
        <w:pStyle w:val="CaptionedFigure"/>
      </w:pPr>
      <w:r>
        <w:drawing>
          <wp:inline>
            <wp:extent cx="4800600" cy="2277516"/>
            <wp:effectExtent b="0" l="0" r="0" t="0"/>
            <wp:docPr descr="Результа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гаммирования, написав программу, которая определяет вид шифротекста при известном ключе и известном открытом тексте и определяет ключ.</w:t>
      </w:r>
    </w:p>
    <w:bookmarkEnd w:id="33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5" w:name="ref-bib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https://studfile.net/preview/272674/page:7/</w:t>
        </w:r>
      </w:hyperlink>
      <w:r>
        <w:t xml:space="preserve">.</w:t>
      </w:r>
    </w:p>
    <w:bookmarkEnd w:id="35"/>
    <w:bookmarkStart w:id="37" w:name="ref-bib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No 7. Элементы криптографии. 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https://esystem.rudn.ru/pluginfile.php/2090421/mod_resource/content/2/007-lab_crypto-gamma.pdf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6" Target="https://esystem.rudn.ru/pluginfile.php/2090421/mod_resource/content/2/007-lab_crypto-gamma.pdf" TargetMode="External" /><Relationship Type="http://schemas.openxmlformats.org/officeDocument/2006/relationships/hyperlink" Id="rId34" Target="https://studfile.net/preview/272674/page: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pluginfile.php/2090421/mod_resource/content/2/007-lab_crypto-gamma.pdf" TargetMode="External" /><Relationship Type="http://schemas.openxmlformats.org/officeDocument/2006/relationships/hyperlink" Id="rId34" Target="https://studfile.net/preview/272674/page: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Кекишева Анастасия Дмитриевна</dc:creator>
  <dc:language>ru-RU</dc:language>
  <cp:keywords/>
  <dcterms:created xsi:type="dcterms:W3CDTF">2023-10-21T06:42:15Z</dcterms:created>
  <dcterms:modified xsi:type="dcterms:W3CDTF">2023-10-21T06:42:15Z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