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both"/>
        <w:rPr>
          <w:b w:val="0"/>
          <w:bCs/>
          <w:sz w:val="28"/>
          <w:szCs w:val="28"/>
        </w:rPr>
      </w:pPr>
      <w:r>
        <w:rPr>
          <w:b w:val="0"/>
          <w:bCs/>
          <w:sz w:val="28"/>
          <w:szCs w:val="28"/>
        </w:rPr>
        <w:t>Antike Literaturgeschichte (III):</w:t>
      </w:r>
      <w:bookmarkStart w:id="0" w:name="_GoBack"/>
      <w:bookmarkEnd w:id="0"/>
      <w:r>
        <w:rPr>
          <w:b w:val="0"/>
          <w:bCs/>
          <w:sz w:val="28"/>
          <w:szCs w:val="28"/>
        </w:rPr>
        <w:t xml:space="preserve"> Der Mensch und die Welt </w:t>
      </w:r>
    </w:p>
    <w:p>
      <w:pPr>
        <w:spacing w:line="360" w:lineRule="auto"/>
        <w:jc w:val="both"/>
        <w:rPr>
          <w:b w:val="0"/>
          <w:bCs/>
          <w:sz w:val="28"/>
          <w:szCs w:val="28"/>
        </w:rPr>
      </w:pPr>
    </w:p>
    <w:p>
      <w:pPr>
        <w:spacing w:line="360" w:lineRule="auto"/>
        <w:jc w:val="both"/>
        <w:rPr>
          <w:b w:val="0"/>
          <w:bCs/>
        </w:rPr>
      </w:pPr>
      <w:r>
        <w:rPr>
          <w:b w:val="0"/>
          <w:bCs/>
        </w:rPr>
        <w:t xml:space="preserve">Es ist ein Kennzeichen aller Hochkulturen, dass der Mensch nicht nur künstlerische Erzeugnisse hinterlässt, sondern sich auch mit seiner Welt, seiner geistigen und natürlichen Umwelt, beschäftigt. So gehen auf die griechische Antike auch die Anfänge in Philosophie und Naturwissenschaft zurück, wobei ganz am Anfang diese beiden Bereiche noch gar nicht geschieden waren: Die europäische Geschichte der Philosophie und Wissenschaft beginnt im 6. Jh. v. Chr. mit den Vertretern einer </w:t>
      </w:r>
      <w:r>
        <w:rPr>
          <w:b w:val="0"/>
          <w:bCs/>
        </w:rPr>
        <w:t>Naturphilosophie</w:t>
      </w:r>
      <w:r>
        <w:rPr>
          <w:b w:val="0"/>
          <w:bCs/>
        </w:rPr>
        <w:t>, den (sogenannten) Vorsokratikern; so wurde die gesamte philosophische Tradition vor S</w:t>
      </w:r>
      <w:r>
        <w:rPr>
          <w:rFonts w:ascii="Cambria" w:hAnsi="Cambria"/>
          <w:b w:val="0"/>
          <w:bCs/>
        </w:rPr>
        <w:t>ó</w:t>
      </w:r>
      <w:r>
        <w:rPr>
          <w:b w:val="0"/>
          <w:bCs/>
        </w:rPr>
        <w:t xml:space="preserve">krates (469-399 v. Chr.) zusammengefasst (mit Sokrates – so sah es bereits die Antike – verschob sich die philosophische Beschäftigung von der Frage nach der Beschaffenheit der Welt zu der, was der Mensch soll und will in der Welt). Die Vorsokratiker versuchten Antworten auf Fragen zu finden wie: Ist die Welt begrenzt oder ist es sinnvoller, sie sich unbegrenzt vorzustellen? Woraus besteht die Welt, was sind ihre Grundbausteine? Lässt sich die Welt auf ein wie auch immer geartetes Eine zurückführen oder steht schon am Anfang eine Vielheit? Warum ist überhaupt etwas und nicht vielmehr nichts? Was können wir überhaupt wissen? Das sind Fragen, die auch im Bereich der Religion, durch die Annahme einer übernatürlichen Welt, die von Göttern bevölkert und dem Menschen nicht völlig einsehbar ist, beantwortet werden könnten; die Vorsokratiker aber versuchten, ohne eine solche Annahme auszukommen und alleine durch Beobachtung und Schlussfolgerung, durch die Bildung von Theorien und Hypothesen die Welt besser verstehen zu lernen. Die Bücher, die sie geschrieben haben (und von denen keines ganz erhalten ist – die gesamte Überlieferung der Philosophie der Vorsokratiker besteht ausschliesslich aus mehr oder minder ausführlichen Fragmenten) tragen deshalb sehr oft den Titel </w:t>
      </w:r>
      <w:r>
        <w:rPr>
          <w:b w:val="0"/>
          <w:bCs/>
          <w:i/>
        </w:rPr>
        <w:t>Über die Natur</w:t>
      </w:r>
      <w:r>
        <w:rPr>
          <w:b w:val="0"/>
          <w:bCs/>
        </w:rPr>
        <w:t xml:space="preserve"> (wobei Natur hier immer umfassend zu verstehen ist als Bezeichnung der Welt ausserhalb des Menschen).  </w:t>
      </w:r>
    </w:p>
    <w:p>
      <w:pPr>
        <w:spacing w:line="360" w:lineRule="auto"/>
        <w:jc w:val="both"/>
        <w:rPr>
          <w:b w:val="0"/>
          <w:bCs/>
        </w:rPr>
      </w:pPr>
      <w:r>
        <w:rPr>
          <w:b w:val="0"/>
          <w:bCs/>
        </w:rPr>
        <w:t xml:space="preserve">Natürlich hatte jeder dieser Philosophen den Anspruch, eine bessere und richtigere Theorie über die Beschaffenheit der Welt zu haben: </w:t>
      </w:r>
      <w:r>
        <w:rPr>
          <w:b w:val="0"/>
          <w:bCs/>
          <w:u w:val="single"/>
        </w:rPr>
        <w:t>Th</w:t>
      </w:r>
      <w:r>
        <w:rPr>
          <w:rFonts w:ascii="Cambria" w:hAnsi="Cambria"/>
          <w:b w:val="0"/>
          <w:bCs/>
          <w:u w:val="single"/>
        </w:rPr>
        <w:t>á</w:t>
      </w:r>
      <w:r>
        <w:rPr>
          <w:b w:val="0"/>
          <w:bCs/>
          <w:u w:val="single"/>
        </w:rPr>
        <w:t>les</w:t>
      </w:r>
      <w:r>
        <w:rPr>
          <w:b w:val="0"/>
          <w:bCs/>
        </w:rPr>
        <w:t xml:space="preserve"> (624-547 v. Chr.) etwa vertrat die Ansicht, dass als Urstoff der Welt das Wasser angenommen werden müsse</w:t>
      </w:r>
      <w:r>
        <w:rPr>
          <w:rStyle w:val="4"/>
          <w:b w:val="0"/>
          <w:bCs/>
        </w:rPr>
        <w:footnoteReference w:id="0"/>
      </w:r>
      <w:r>
        <w:rPr>
          <w:b w:val="0"/>
          <w:bCs/>
        </w:rPr>
        <w:t xml:space="preserve"> (er stellte sich vor, dass die Erde als Scheibe auf dem Wasser schwimme); </w:t>
      </w:r>
      <w:r>
        <w:rPr>
          <w:b w:val="0"/>
          <w:bCs/>
          <w:u w:val="single"/>
        </w:rPr>
        <w:t>Anax</w:t>
      </w:r>
      <w:r>
        <w:rPr>
          <w:rFonts w:ascii="Cambria" w:hAnsi="Cambria"/>
          <w:b w:val="0"/>
          <w:bCs/>
          <w:u w:val="single"/>
        </w:rPr>
        <w:t>í</w:t>
      </w:r>
      <w:r>
        <w:rPr>
          <w:b w:val="0"/>
          <w:bCs/>
          <w:u w:val="single"/>
        </w:rPr>
        <w:t xml:space="preserve">menes </w:t>
      </w:r>
      <w:r>
        <w:rPr>
          <w:b w:val="0"/>
          <w:bCs/>
        </w:rPr>
        <w:t xml:space="preserve">(ca. 550-500 v. Chr.) verfocht die Theorie, die Luft sei der Urstoff von allem (wobei die Erde als Mittelpunkt des Universums durch Kompression entstanden sei); </w:t>
      </w:r>
      <w:r>
        <w:rPr>
          <w:b w:val="0"/>
          <w:bCs/>
          <w:u w:val="single"/>
        </w:rPr>
        <w:t>Herakl</w:t>
      </w:r>
      <w:r>
        <w:rPr>
          <w:rFonts w:ascii="Cambria" w:hAnsi="Cambria"/>
          <w:b w:val="0"/>
          <w:bCs/>
          <w:u w:val="single"/>
        </w:rPr>
        <w:t>í</w:t>
      </w:r>
      <w:r>
        <w:rPr>
          <w:b w:val="0"/>
          <w:bCs/>
          <w:u w:val="single"/>
        </w:rPr>
        <w:t>t</w:t>
      </w:r>
      <w:r>
        <w:rPr>
          <w:b w:val="0"/>
          <w:bCs/>
        </w:rPr>
        <w:t xml:space="preserve"> (um 500 v. Chr.) widersprach beiden, indem er darzulegen versuchte, dass das sich stets wandelnde und verändernde Feuer als Grundelement anzunehmen sei, da ein Grundprinzip der Natur die stete Veränderung sei</w:t>
      </w:r>
      <w:r>
        <w:rPr>
          <w:rStyle w:val="4"/>
          <w:b w:val="0"/>
          <w:bCs/>
        </w:rPr>
        <w:footnoteReference w:id="1"/>
      </w:r>
      <w:r>
        <w:rPr>
          <w:b w:val="0"/>
          <w:bCs/>
        </w:rPr>
        <w:t xml:space="preserve">; </w:t>
      </w:r>
      <w:r>
        <w:rPr>
          <w:b w:val="0"/>
          <w:bCs/>
          <w:u w:val="single"/>
        </w:rPr>
        <w:t>Anaxim</w:t>
      </w:r>
      <w:r>
        <w:rPr>
          <w:rFonts w:ascii="Cambria" w:hAnsi="Cambria"/>
          <w:b w:val="0"/>
          <w:bCs/>
          <w:u w:val="single"/>
        </w:rPr>
        <w:t>á</w:t>
      </w:r>
      <w:r>
        <w:rPr>
          <w:b w:val="0"/>
          <w:bCs/>
          <w:u w:val="single"/>
        </w:rPr>
        <w:t xml:space="preserve">nder </w:t>
      </w:r>
      <w:r>
        <w:rPr>
          <w:b w:val="0"/>
          <w:bCs/>
        </w:rPr>
        <w:t xml:space="preserve">(ca. 610-540 v. Chr.) wiederum führte ein abstraktes Konzept in die Naturerklärung ein, indem er annahm, dass die Welt auf ein Unbegrenztes und Unerschöpfliches zurückgeführt werden könne, aus dem sie dann auch immer wieder neu gebildet werde. </w:t>
      </w:r>
      <w:r>
        <w:rPr>
          <w:b w:val="0"/>
          <w:bCs/>
          <w:u w:val="single"/>
        </w:rPr>
        <w:t>Parménides</w:t>
      </w:r>
      <w:r>
        <w:rPr>
          <w:b w:val="0"/>
          <w:bCs/>
        </w:rPr>
        <w:t xml:space="preserve"> (um 500 v. Chr.) widersprach diesen allen, indem er erklärte, alles auf der Welt habe eine Ursache oder Bedingung, die zwar nicht empirisch (d.h. durch Beobachtung und Erfahrung) nachweisbar sei, aber logisch beweisbar: Erkennbar sei nur das, was ist, und deshalb sei das Sein bzw. das Seiende Grundlage der Welt; und dieses Seiende bestimmte er als ungeworden (d.h. schon immer vorhanden), unteilbar und unveränderlich. </w:t>
      </w:r>
    </w:p>
    <w:p>
      <w:pPr>
        <w:spacing w:line="360" w:lineRule="auto"/>
        <w:jc w:val="both"/>
        <w:rPr>
          <w:b w:val="0"/>
          <w:bCs/>
        </w:rPr>
      </w:pPr>
      <w:r>
        <w:rPr>
          <w:b w:val="0"/>
          <w:bCs/>
        </w:rPr>
        <w:t xml:space="preserve">Spätere Philosophen und Naturkundler haben diese Antworten teilweise weiterentwickelt: So ging auch </w:t>
      </w:r>
      <w:r>
        <w:rPr>
          <w:b w:val="0"/>
          <w:bCs/>
          <w:u w:val="single"/>
        </w:rPr>
        <w:t>Pyth</w:t>
      </w:r>
      <w:r>
        <w:rPr>
          <w:rFonts w:ascii="Cambria" w:hAnsi="Cambria"/>
          <w:b w:val="0"/>
          <w:bCs/>
          <w:u w:val="single"/>
        </w:rPr>
        <w:t>á</w:t>
      </w:r>
      <w:r>
        <w:rPr>
          <w:b w:val="0"/>
          <w:bCs/>
          <w:u w:val="single"/>
        </w:rPr>
        <w:t>goras</w:t>
      </w:r>
      <w:r>
        <w:rPr>
          <w:b w:val="0"/>
          <w:bCs/>
        </w:rPr>
        <w:t xml:space="preserve"> (570-495 v. Chr.) von einem abstrakten Konzept aus zur Erklärung der Beschaffenheit der Welt. Für Pythagoras war die Grundlage der Welt die Zahl, wobei er Zahl als Masseinheit verstand: Pythagoras ging davon aus, dass die Welt grundsätzlich in ihren verschiedenen Bestandteilen harmonisch sei und sich diese Harmonie in festen Masszahlen ausdrücke, die durch Naturbeobachtung und Berechnung gefunden werden könne: eine Vorstellung von der Welt als mathematische Ordnung</w:t>
      </w:r>
      <w:r>
        <w:rPr>
          <w:rStyle w:val="4"/>
          <w:b w:val="0"/>
          <w:bCs/>
        </w:rPr>
        <w:footnoteReference w:id="2"/>
      </w:r>
      <w:r>
        <w:rPr>
          <w:b w:val="0"/>
          <w:bCs/>
        </w:rPr>
        <w:t>. Damit waren die Grundlagen der Geometrie gelegt (ein solches Ordnungsverhältnis drückt etwa der berühmte sogenannte Satz des Pythagoras aus)</w:t>
      </w:r>
      <w:r>
        <w:rPr>
          <w:rStyle w:val="4"/>
          <w:b w:val="0"/>
          <w:bCs/>
        </w:rPr>
        <w:footnoteReference w:id="3"/>
      </w:r>
      <w:r>
        <w:rPr>
          <w:b w:val="0"/>
          <w:bCs/>
        </w:rPr>
        <w:t xml:space="preserve">. Oder </w:t>
      </w:r>
      <w:r>
        <w:rPr>
          <w:b w:val="0"/>
          <w:bCs/>
          <w:u w:val="single"/>
        </w:rPr>
        <w:t>Demokr</w:t>
      </w:r>
      <w:r>
        <w:rPr>
          <w:rFonts w:ascii="Cambria" w:hAnsi="Cambria"/>
          <w:b w:val="0"/>
          <w:bCs/>
          <w:u w:val="single"/>
        </w:rPr>
        <w:t>í</w:t>
      </w:r>
      <w:r>
        <w:rPr>
          <w:b w:val="0"/>
          <w:bCs/>
          <w:u w:val="single"/>
        </w:rPr>
        <w:t xml:space="preserve">t </w:t>
      </w:r>
      <w:r>
        <w:rPr>
          <w:b w:val="0"/>
          <w:bCs/>
        </w:rPr>
        <w:t xml:space="preserve">(ca. 460-380 v. Chr.) übernahm die Grundthese von Parmenides, dass die Welt nicht aus dem Nichts entstanden sein könne, sondern aus Etwas, und definierte dieses Etwas als kleinstmöglicher, nicht mehr teilbarer Grundbaustein, den er </w:t>
      </w:r>
      <w:r>
        <w:rPr>
          <w:rFonts w:ascii="Cambria" w:hAnsi="Cambria"/>
          <w:b w:val="0"/>
          <w:bCs/>
          <w:i/>
        </w:rPr>
        <w:t>á</w:t>
      </w:r>
      <w:r>
        <w:rPr>
          <w:b w:val="0"/>
          <w:bCs/>
          <w:i/>
        </w:rPr>
        <w:t>tomos</w:t>
      </w:r>
      <w:r>
        <w:rPr>
          <w:b w:val="0"/>
          <w:bCs/>
        </w:rPr>
        <w:t xml:space="preserve"> (das Unteilbare) nannte (von dem die moderne Physik Wort und Begriff des Atoms entlehnt hat)</w:t>
      </w:r>
      <w:r>
        <w:rPr>
          <w:rStyle w:val="4"/>
          <w:b w:val="0"/>
          <w:bCs/>
        </w:rPr>
        <w:footnoteReference w:id="4"/>
      </w:r>
      <w:r>
        <w:rPr>
          <w:b w:val="0"/>
          <w:bCs/>
        </w:rPr>
        <w:t xml:space="preserve">. </w:t>
      </w:r>
    </w:p>
    <w:p>
      <w:pPr>
        <w:spacing w:line="360" w:lineRule="auto"/>
        <w:jc w:val="both"/>
        <w:rPr>
          <w:b w:val="0"/>
          <w:bCs/>
        </w:rPr>
      </w:pPr>
    </w:p>
    <w:p>
      <w:pPr>
        <w:spacing w:line="360" w:lineRule="auto"/>
        <w:jc w:val="both"/>
        <w:rPr>
          <w:b w:val="0"/>
          <w:bCs/>
        </w:rPr>
      </w:pPr>
      <w:r>
        <w:rPr>
          <w:b w:val="0"/>
          <w:bCs/>
        </w:rPr>
        <w:t xml:space="preserve">Im Laufe der nächsten Jahrhunderte entwickelten sich aus diesen Anfängen die Naturwissenschaften: </w:t>
      </w:r>
      <w:r>
        <w:rPr>
          <w:b w:val="0"/>
          <w:bCs/>
          <w:u w:val="single"/>
        </w:rPr>
        <w:t>Archimédes</w:t>
      </w:r>
      <w:r>
        <w:rPr>
          <w:b w:val="0"/>
          <w:bCs/>
        </w:rPr>
        <w:t xml:space="preserve"> (287-212 v. Chr.) formulierte um 250 v. Chr. die Hebelgesetze und die Gesetze des Auftriebs und bestimmte den Schwerpunkt von Flächen und Körpern, wodurch er grundlegende Erkenntnisse für die </w:t>
      </w:r>
      <w:r>
        <w:rPr>
          <w:b w:val="0"/>
          <w:bCs/>
        </w:rPr>
        <w:t xml:space="preserve">Physik </w:t>
      </w:r>
      <w:r>
        <w:rPr>
          <w:b w:val="0"/>
          <w:bCs/>
        </w:rPr>
        <w:t xml:space="preserve">gewann (das Wort stammt vom griech. Wort für Natur, </w:t>
      </w:r>
      <w:r>
        <w:rPr>
          <w:rFonts w:cs="Arial"/>
          <w:b w:val="0"/>
          <w:bCs/>
          <w:i/>
        </w:rPr>
        <w:t>physis</w:t>
      </w:r>
      <w:r>
        <w:rPr>
          <w:b w:val="0"/>
          <w:bCs/>
        </w:rPr>
        <w:t>)</w:t>
      </w:r>
      <w:r>
        <w:rPr>
          <w:rStyle w:val="4"/>
          <w:b w:val="0"/>
          <w:bCs/>
        </w:rPr>
        <w:footnoteReference w:id="5"/>
      </w:r>
      <w:r>
        <w:rPr>
          <w:b w:val="0"/>
          <w:bCs/>
        </w:rPr>
        <w:t>; er war ebenso als Mathematiker und Ingenieur berühmt (so konstruierte er etwa Wurfmaschinen, die bei der Verteidigung von Syrakus gegen die römische Belagerung im Zweiten Punischen Krieg eingesetzt wurden)</w:t>
      </w:r>
      <w:r>
        <w:rPr>
          <w:rStyle w:val="4"/>
          <w:b w:val="0"/>
          <w:bCs/>
        </w:rPr>
        <w:footnoteReference w:id="6"/>
      </w:r>
      <w:r>
        <w:rPr>
          <w:b w:val="0"/>
          <w:bCs/>
        </w:rPr>
        <w:t xml:space="preserve">. </w:t>
      </w:r>
      <w:r>
        <w:rPr>
          <w:b w:val="0"/>
          <w:bCs/>
          <w:u w:val="single"/>
        </w:rPr>
        <w:t>Erat</w:t>
      </w:r>
      <w:r>
        <w:rPr>
          <w:rFonts w:ascii="Cambria" w:hAnsi="Cambria"/>
          <w:b w:val="0"/>
          <w:bCs/>
          <w:u w:val="single"/>
        </w:rPr>
        <w:t>ó</w:t>
      </w:r>
      <w:r>
        <w:rPr>
          <w:b w:val="0"/>
          <w:bCs/>
          <w:u w:val="single"/>
        </w:rPr>
        <w:t>sthenes</w:t>
      </w:r>
      <w:r>
        <w:rPr>
          <w:b w:val="0"/>
          <w:bCs/>
        </w:rPr>
        <w:t xml:space="preserve"> (ca. 275-194 v. Chr.) berechnete als erster den Erdumfang und gilt als Begründer der wissenschaftlichen </w:t>
      </w:r>
      <w:r>
        <w:rPr>
          <w:b w:val="0"/>
          <w:bCs/>
        </w:rPr>
        <w:t>Geographie</w:t>
      </w:r>
      <w:r>
        <w:rPr>
          <w:b w:val="0"/>
          <w:bCs/>
        </w:rPr>
        <w:t xml:space="preserve"> (auch dieses Wort stammt aus dem Griechischen: von </w:t>
      </w:r>
      <w:r>
        <w:rPr>
          <w:b w:val="0"/>
          <w:bCs/>
          <w:i/>
        </w:rPr>
        <w:t>g</w:t>
      </w:r>
      <w:r>
        <w:rPr>
          <w:rFonts w:ascii="Cambria" w:hAnsi="Cambria"/>
          <w:b w:val="0"/>
          <w:bCs/>
          <w:i/>
        </w:rPr>
        <w:t>á</w:t>
      </w:r>
      <w:r>
        <w:rPr>
          <w:b w:val="0"/>
          <w:bCs/>
          <w:i/>
        </w:rPr>
        <w:t>ia</w:t>
      </w:r>
      <w:r>
        <w:rPr>
          <w:b w:val="0"/>
          <w:bCs/>
        </w:rPr>
        <w:t xml:space="preserve">, ‚Erde’ und </w:t>
      </w:r>
      <w:r>
        <w:rPr>
          <w:b w:val="0"/>
          <w:bCs/>
          <w:i/>
        </w:rPr>
        <w:t>graphéin</w:t>
      </w:r>
      <w:r>
        <w:rPr>
          <w:b w:val="0"/>
          <w:bCs/>
        </w:rPr>
        <w:t xml:space="preserve">, ‚schreiben’). </w:t>
      </w:r>
      <w:r>
        <w:rPr>
          <w:b w:val="0"/>
          <w:bCs/>
          <w:u w:val="single"/>
        </w:rPr>
        <w:t>Ptolem</w:t>
      </w:r>
      <w:r>
        <w:rPr>
          <w:rFonts w:ascii="Cambria" w:hAnsi="Cambria"/>
          <w:b w:val="0"/>
          <w:bCs/>
          <w:u w:val="single"/>
        </w:rPr>
        <w:t>á</w:t>
      </w:r>
      <w:r>
        <w:rPr>
          <w:b w:val="0"/>
          <w:bCs/>
          <w:u w:val="single"/>
        </w:rPr>
        <w:t xml:space="preserve">ios </w:t>
      </w:r>
      <w:r>
        <w:rPr>
          <w:b w:val="0"/>
          <w:bCs/>
        </w:rPr>
        <w:t xml:space="preserve">(ca. 100-160 n. Chr.) machte sich Vorstellungen über die Struktur des Kosmos und verfasste ein Standardwerk zur </w:t>
      </w:r>
      <w:r>
        <w:rPr>
          <w:b w:val="0"/>
          <w:bCs/>
        </w:rPr>
        <w:t>Astronomie</w:t>
      </w:r>
      <w:r>
        <w:rPr>
          <w:b w:val="0"/>
          <w:bCs/>
        </w:rPr>
        <w:t>, das eine Aufstellung der Sterne und Planeten enthielt; er entwarf ein geozentrisches Weltbild (das nach ihm später ptolemäisches Weltbild genannt wurde), das von der Erde als Mittelpunkt des Weltalls ausging, um den sich alle anderen Himmelskörper drehten</w:t>
      </w:r>
      <w:r>
        <w:rPr>
          <w:rStyle w:val="4"/>
          <w:b w:val="0"/>
          <w:bCs/>
        </w:rPr>
        <w:footnoteReference w:id="7"/>
      </w:r>
      <w:r>
        <w:rPr>
          <w:b w:val="0"/>
          <w:bCs/>
        </w:rPr>
        <w:t xml:space="preserve">. Diese Vorstellung galt während des ganzen Mittelalters als die zutreffende (und mit der kirchlichen Lehre übereinstimmende); korrigiert wurde sie erst durch Nikolaus Kopernikus im 16. Jh. </w:t>
      </w:r>
      <w:r>
        <w:rPr>
          <w:b w:val="0"/>
          <w:bCs/>
          <w:u w:val="single"/>
        </w:rPr>
        <w:t>Arist</w:t>
      </w:r>
      <w:r>
        <w:rPr>
          <w:rFonts w:ascii="Cambria" w:hAnsi="Cambria"/>
          <w:b w:val="0"/>
          <w:bCs/>
          <w:u w:val="single"/>
        </w:rPr>
        <w:t>ó</w:t>
      </w:r>
      <w:r>
        <w:rPr>
          <w:b w:val="0"/>
          <w:bCs/>
          <w:u w:val="single"/>
        </w:rPr>
        <w:t>teles</w:t>
      </w:r>
      <w:r>
        <w:rPr>
          <w:b w:val="0"/>
          <w:bCs/>
        </w:rPr>
        <w:t xml:space="preserve"> (384-322 v. Chr.) verfasste mehrere Schriften zur Naturkunde und kann als Begründer der beschreibenden </w:t>
      </w:r>
      <w:r>
        <w:rPr>
          <w:b w:val="0"/>
          <w:bCs/>
        </w:rPr>
        <w:t xml:space="preserve">Biologie </w:t>
      </w:r>
      <w:r>
        <w:rPr>
          <w:b w:val="0"/>
          <w:bCs/>
        </w:rPr>
        <w:t xml:space="preserve">gelten (auch dieses Wort stammt aus dem Griechischen: </w:t>
      </w:r>
      <w:r>
        <w:rPr>
          <w:b w:val="0"/>
          <w:bCs/>
          <w:i/>
        </w:rPr>
        <w:t>b</w:t>
      </w:r>
      <w:r>
        <w:rPr>
          <w:rFonts w:ascii="Cambria" w:hAnsi="Cambria"/>
          <w:b w:val="0"/>
          <w:bCs/>
          <w:i/>
        </w:rPr>
        <w:t>í</w:t>
      </w:r>
      <w:r>
        <w:rPr>
          <w:b w:val="0"/>
          <w:bCs/>
          <w:i/>
        </w:rPr>
        <w:t>os</w:t>
      </w:r>
      <w:r>
        <w:rPr>
          <w:b w:val="0"/>
          <w:bCs/>
        </w:rPr>
        <w:t xml:space="preserve"> bedeutet ‚Leben’); seine Erkenntnisse (ebenso wie seine Irrtümer: etwa die Auffassung, dass Spinnen sechs Beine hätten) waren noch bis ins 17. Jh. in den Lehrbüchern zu finden</w:t>
      </w:r>
      <w:r>
        <w:rPr>
          <w:rStyle w:val="4"/>
          <w:b w:val="0"/>
          <w:bCs/>
        </w:rPr>
        <w:footnoteReference w:id="8"/>
      </w:r>
      <w:r>
        <w:rPr>
          <w:b w:val="0"/>
          <w:bCs/>
        </w:rPr>
        <w:t xml:space="preserve">. Als am weitesten fortgeschrittene Wissenschaft der Antike gilt die </w:t>
      </w:r>
      <w:r>
        <w:rPr>
          <w:b w:val="0"/>
          <w:bCs/>
        </w:rPr>
        <w:t>Medizin</w:t>
      </w:r>
      <w:r>
        <w:rPr>
          <w:b w:val="0"/>
          <w:bCs/>
        </w:rPr>
        <w:t xml:space="preserve">, besonders die Diagnostik (das Erkennen und Identifizieren von Krankheiten). Unter dem Namen des </w:t>
      </w:r>
      <w:r>
        <w:rPr>
          <w:b w:val="0"/>
          <w:bCs/>
          <w:u w:val="single"/>
        </w:rPr>
        <w:t>Hipp</w:t>
      </w:r>
      <w:r>
        <w:rPr>
          <w:rFonts w:ascii="Cambria" w:hAnsi="Cambria"/>
          <w:b w:val="0"/>
          <w:bCs/>
          <w:u w:val="single"/>
        </w:rPr>
        <w:t>ó</w:t>
      </w:r>
      <w:r>
        <w:rPr>
          <w:b w:val="0"/>
          <w:bCs/>
          <w:u w:val="single"/>
        </w:rPr>
        <w:t>krates</w:t>
      </w:r>
      <w:r>
        <w:rPr>
          <w:b w:val="0"/>
          <w:bCs/>
        </w:rPr>
        <w:t xml:space="preserve"> (ca. 460-370 v. Chr.) ist eine Sammlung von nicht weniger als 60 medizinischen Traktaten überliefert (die nicht alle – wie man heute weiss – von ihm selbst geschrieben worden sind); das hohe Verantwortungsgefühl der antiken Ärzte macht der </w:t>
      </w:r>
      <w:r>
        <w:rPr>
          <w:b w:val="0"/>
          <w:bCs/>
          <w:i/>
        </w:rPr>
        <w:t>Eid des Hippokrates</w:t>
      </w:r>
      <w:r>
        <w:rPr>
          <w:b w:val="0"/>
          <w:bCs/>
        </w:rPr>
        <w:t xml:space="preserve"> deutlich (dessen ethische Prinzipien noch heute das Verhalten von Ärzten anleiten). </w:t>
      </w:r>
    </w:p>
    <w:p>
      <w:pPr>
        <w:spacing w:line="360" w:lineRule="auto"/>
        <w:jc w:val="both"/>
        <w:rPr>
          <w:b w:val="0"/>
          <w:bCs/>
        </w:rPr>
      </w:pPr>
      <w:r>
        <w:rPr>
          <w:b w:val="0"/>
          <w:bCs/>
        </w:rPr>
        <w:t xml:space="preserve">An spätere Jahrhunderte überliefert wurde dieses Wissen oft nicht durch die Schriften dieser Fachautoren, sondern durch populäre Zusammenstellungen (und Verfälschungen) des gesammelten Wissens (sogenannten Kompilationen): Das berühmteste und für die Überlieferung wichtigste Buch dieser Art stammt aus der römischen Antike: die </w:t>
      </w:r>
      <w:r>
        <w:rPr>
          <w:b w:val="0"/>
          <w:bCs/>
          <w:i/>
        </w:rPr>
        <w:t xml:space="preserve">Naturgeschichte </w:t>
      </w:r>
      <w:r>
        <w:rPr>
          <w:b w:val="0"/>
          <w:bCs/>
        </w:rPr>
        <w:t>(</w:t>
      </w:r>
      <w:r>
        <w:rPr>
          <w:b w:val="0"/>
          <w:bCs/>
          <w:i/>
        </w:rPr>
        <w:t>Natur</w:t>
      </w:r>
      <w:r>
        <w:rPr>
          <w:rFonts w:ascii="Cambria" w:hAnsi="Cambria"/>
          <w:b w:val="0"/>
          <w:bCs/>
          <w:i/>
        </w:rPr>
        <w:t>á</w:t>
      </w:r>
      <w:r>
        <w:rPr>
          <w:b w:val="0"/>
          <w:bCs/>
          <w:i/>
        </w:rPr>
        <w:t>lis hist</w:t>
      </w:r>
      <w:r>
        <w:rPr>
          <w:rFonts w:ascii="Cambria" w:hAnsi="Cambria"/>
          <w:b w:val="0"/>
          <w:bCs/>
          <w:i/>
        </w:rPr>
        <w:t>ó</w:t>
      </w:r>
      <w:r>
        <w:rPr>
          <w:b w:val="0"/>
          <w:bCs/>
          <w:i/>
        </w:rPr>
        <w:t>ria</w:t>
      </w:r>
      <w:r>
        <w:rPr>
          <w:b w:val="0"/>
          <w:bCs/>
        </w:rPr>
        <w:t xml:space="preserve">) von </w:t>
      </w:r>
      <w:r>
        <w:rPr>
          <w:b w:val="0"/>
          <w:bCs/>
          <w:u w:val="single"/>
        </w:rPr>
        <w:t>Plinius dem Älteren</w:t>
      </w:r>
      <w:r>
        <w:rPr>
          <w:b w:val="0"/>
          <w:bCs/>
        </w:rPr>
        <w:t xml:space="preserve"> (23-79 n. Chr.)</w:t>
      </w:r>
      <w:r>
        <w:rPr>
          <w:rStyle w:val="4"/>
          <w:b w:val="0"/>
          <w:bCs/>
        </w:rPr>
        <w:footnoteReference w:id="9"/>
      </w:r>
      <w:r>
        <w:rPr>
          <w:b w:val="0"/>
          <w:bCs/>
        </w:rPr>
        <w:t xml:space="preserve">, eine Zusammenstellung des gesamten naturwissenschaftlichen Wissens seiner Zeit, die nicht weniger als 37 Bücher (!) umfasst. Im Wesentlichen durch dieses Werk ist das antike naturwissenschaftliche Wissen ans Mittelalter weitergegeben worden. </w:t>
      </w:r>
    </w:p>
    <w:p>
      <w:pPr>
        <w:spacing w:line="360" w:lineRule="auto"/>
        <w:jc w:val="both"/>
        <w:rPr>
          <w:b w:val="0"/>
          <w:bCs/>
        </w:rPr>
      </w:pPr>
      <w:r>
        <w:rPr>
          <w:b w:val="0"/>
          <w:bCs/>
        </w:rPr>
        <w:t xml:space="preserve">Als die wichtigste wissenschaftliche Errungenschaft aus der römischen Antike, die für unser Leben bedeutsam ist, gilt die Entwicklung von Regeln und Geboten, die das Zusammenleben der Menschen regeln sollten: das </w:t>
      </w:r>
      <w:r>
        <w:rPr>
          <w:b w:val="0"/>
          <w:bCs/>
        </w:rPr>
        <w:t>Recht</w:t>
      </w:r>
      <w:r>
        <w:rPr>
          <w:b w:val="0"/>
          <w:bCs/>
        </w:rPr>
        <w:t xml:space="preserve">. Grundlage unserer heutigen Gesetze sind die Bestimmungen, die im </w:t>
      </w:r>
      <w:r>
        <w:rPr>
          <w:b w:val="0"/>
          <w:bCs/>
          <w:u w:val="single"/>
        </w:rPr>
        <w:t>Römischen Recht</w:t>
      </w:r>
      <w:r>
        <w:rPr>
          <w:b w:val="0"/>
          <w:bCs/>
        </w:rPr>
        <w:t xml:space="preserve"> zum ersten Mal systematisch erfasst worden sind. Das Römische Recht war zunächst eine aus langjähriger Übung entstandene Sammlung von Geboten und Verboten, die zunächst gar nicht in Form von Gesetzen niedergeschrieben wurden, sondern aus der Praxis eines Gewohnheitsrechts hervorgegangen waren. Erst mit der Zeit wurden diese Bestimmungen auch schriftlich festgehalten und nahmen die Form einer Gesetzessammlung an. Überliefert wurde das Römische Recht durch die vom oströmischen Kaiser Justini</w:t>
      </w:r>
      <w:r>
        <w:rPr>
          <w:rFonts w:ascii="Cambria" w:hAnsi="Cambria"/>
          <w:b w:val="0"/>
          <w:bCs/>
        </w:rPr>
        <w:t>á</w:t>
      </w:r>
      <w:r>
        <w:rPr>
          <w:b w:val="0"/>
          <w:bCs/>
        </w:rPr>
        <w:t xml:space="preserve">n initiierte Sammlung des (sogenannten) </w:t>
      </w:r>
      <w:r>
        <w:rPr>
          <w:b w:val="0"/>
          <w:bCs/>
          <w:i/>
        </w:rPr>
        <w:t>Corpus Iuris Civ</w:t>
      </w:r>
      <w:r>
        <w:rPr>
          <w:rFonts w:ascii="Cambria" w:hAnsi="Cambria"/>
          <w:b w:val="0"/>
          <w:bCs/>
          <w:i/>
        </w:rPr>
        <w:t>í</w:t>
      </w:r>
      <w:r>
        <w:rPr>
          <w:b w:val="0"/>
          <w:bCs/>
          <w:i/>
        </w:rPr>
        <w:t xml:space="preserve">lis </w:t>
      </w:r>
      <w:r>
        <w:rPr>
          <w:b w:val="0"/>
          <w:bCs/>
        </w:rPr>
        <w:t xml:space="preserve">im 6. Jh. n. Chr. </w:t>
      </w:r>
    </w:p>
    <w:p>
      <w:pPr>
        <w:spacing w:line="360" w:lineRule="auto"/>
        <w:jc w:val="both"/>
        <w:rPr>
          <w:b w:val="0"/>
          <w:bCs/>
        </w:rPr>
      </w:pPr>
    </w:p>
    <w:p>
      <w:pPr>
        <w:spacing w:line="360" w:lineRule="auto"/>
        <w:jc w:val="both"/>
        <w:rPr>
          <w:b w:val="0"/>
          <w:bCs/>
        </w:rPr>
      </w:pPr>
      <w:r>
        <w:rPr>
          <w:b w:val="0"/>
          <w:bCs/>
        </w:rPr>
        <w:t>Mit der Einführung der Demokratie in Athen im 5. Jh. v. Chr. und den damit verbundenen Freiheiten (die zumindest die Bürger hatten) wurde es immer notwendiger, Normen für das angemessene und korrekte Verhalten der Menschen in einer Gemeinschaft zu entwerfen und überhaupt über die Situation des Menschen als Individuum und als Gemeinschaftswesen nachzudenken</w:t>
      </w:r>
      <w:r>
        <w:rPr>
          <w:rStyle w:val="4"/>
          <w:b w:val="0"/>
          <w:bCs/>
        </w:rPr>
        <w:footnoteReference w:id="10"/>
      </w:r>
      <w:r>
        <w:rPr>
          <w:b w:val="0"/>
          <w:bCs/>
        </w:rPr>
        <w:t xml:space="preserve">. Diese Aufgabe übernahm im Athen des 5. Jh. v. Chr. eine sich neu definierende </w:t>
      </w:r>
      <w:r>
        <w:rPr>
          <w:b w:val="0"/>
          <w:bCs/>
        </w:rPr>
        <w:t>Philosophie</w:t>
      </w:r>
      <w:r>
        <w:rPr>
          <w:b w:val="0"/>
          <w:bCs/>
        </w:rPr>
        <w:t xml:space="preserve">. Besonders radikal über solche Fragen nachgedacht zu haben scheint </w:t>
      </w:r>
      <w:r>
        <w:rPr>
          <w:b w:val="0"/>
          <w:bCs/>
          <w:u w:val="single"/>
        </w:rPr>
        <w:t>Sokrates</w:t>
      </w:r>
      <w:r>
        <w:rPr>
          <w:b w:val="0"/>
          <w:bCs/>
        </w:rPr>
        <w:t xml:space="preserve"> (469-399 v. Chr.). Sokrates gilt zwar als wohl berühmtester Philosoph der Antike, aber über sein Leben und seine Person gibt es nur wenige gesicherte Informationen</w:t>
      </w:r>
      <w:r>
        <w:rPr>
          <w:rStyle w:val="4"/>
          <w:b w:val="0"/>
          <w:bCs/>
        </w:rPr>
        <w:footnoteReference w:id="11"/>
      </w:r>
      <w:r>
        <w:rPr>
          <w:b w:val="0"/>
          <w:bCs/>
        </w:rPr>
        <w:t>. Das liegt vor allem daran, dass Sokrates selbst keine eigenen Schriften verfasst hat und dass andere, die über ihn geschrieben haben, ein widersprüchliches Bild von ihm hinterlassen haben</w:t>
      </w:r>
      <w:r>
        <w:rPr>
          <w:rStyle w:val="4"/>
          <w:b w:val="0"/>
          <w:bCs/>
        </w:rPr>
        <w:footnoteReference w:id="12"/>
      </w:r>
      <w:r>
        <w:rPr>
          <w:b w:val="0"/>
          <w:bCs/>
        </w:rPr>
        <w:t>. Sokrates war – so viel weiss man – als Lehrer tätig, allerdings nicht in einer Schule, sondern er verwickelte seine Schüler, wo immer er in der Stadt unterwegs war, in Gespräche; er formulierte keine Lehren, die ein für alle Mal feststünden, sondern entwickelte seine Erkenntnisse eben aus diesen Gesprächen und nannte diese Methode der Entwicklung von Einsichten aus dem kommunikativen Austausch zwischen Lehrer und Schülern Maieutik (übs.: Hebammenkunst: Sokrates vergleicht hier sein Philosophieren mit der Tätigkeit der Hebamme, die nur hilft, den Prozess zu einem glücklichen Ende zu führen). Eine solche Tätigkeit war offenbar so ungewöhnlich, dass sie Sokrates allerlei Verdächtigungen aussetzte: Im Alter von 70 Jahren wurde er angeklagt, die Jugend zu verderben und neue Götter einzuführen, und zum Tode verurteilt</w:t>
      </w:r>
      <w:r>
        <w:rPr>
          <w:rStyle w:val="4"/>
          <w:b w:val="0"/>
          <w:bCs/>
        </w:rPr>
        <w:footnoteReference w:id="13"/>
      </w:r>
      <w:r>
        <w:rPr>
          <w:b w:val="0"/>
          <w:bCs/>
        </w:rPr>
        <w:t xml:space="preserve">. </w:t>
      </w:r>
    </w:p>
    <w:p>
      <w:pPr>
        <w:spacing w:line="360" w:lineRule="auto"/>
        <w:jc w:val="both"/>
        <w:rPr>
          <w:b w:val="0"/>
          <w:bCs/>
        </w:rPr>
      </w:pPr>
      <w:r>
        <w:rPr>
          <w:b w:val="0"/>
          <w:bCs/>
        </w:rPr>
        <w:t xml:space="preserve">Weitergeführt wurde Sokrates’ Werk von seinem Schüler </w:t>
      </w:r>
      <w:r>
        <w:rPr>
          <w:b w:val="0"/>
          <w:bCs/>
          <w:u w:val="single"/>
        </w:rPr>
        <w:t>Pl</w:t>
      </w:r>
      <w:r>
        <w:rPr>
          <w:rFonts w:ascii="Cambria" w:hAnsi="Cambria"/>
          <w:b w:val="0"/>
          <w:bCs/>
          <w:u w:val="single"/>
        </w:rPr>
        <w:t>á</w:t>
      </w:r>
      <w:r>
        <w:rPr>
          <w:b w:val="0"/>
          <w:bCs/>
          <w:u w:val="single"/>
        </w:rPr>
        <w:t>ton</w:t>
      </w:r>
      <w:r>
        <w:rPr>
          <w:b w:val="0"/>
          <w:bCs/>
        </w:rPr>
        <w:t xml:space="preserve"> (428-347 v. Chr.). Auch Platon hat weder Lehrbücher noch Abhandlungen verfasst; die von ihm hinterlassenen philosophischen Schriften haben fast alle die Form des (philosophischen) Dialogs, in denen er Sokrates’ Gespräche mit dessen Schülern nachzeichnete (deshalb sind die meisten dieser Dialoge nach dem Namen einer der Gesprächspartner von Sokrates benannt). Platons (wie Sokrates’) Interesse galt nun nicht Fragen, die sich mit der Beschaffenheit der Welt befassten, sondern Fragen, die sich um das richtige Handeln und Verhalten des Menschen drehen, des Menschen, der ein geregeltes Leben in jenen Gemeinschaften führt, die ihm Familie, Staat und Religion zur Verfügung stellen. Nicht wie die Welt um ihn aussieht, interessierte Platon, sondern wie der Mensch sich in dieser Welt bewegen, was er tun und was er lassen, woran er sich orientieren soll. In Platons Dialogen geht es deshalb um solche Themen wie etwa die Bestimmung menschlicher Eigenschaften und Tugenden (wie Freundschaft, Tapferkeit, Gerechtigkeit) oder die Definition abstrakter Qualitäten wie des Guten oder des Schönen. In seinem umfangreichsten Werk, der </w:t>
      </w:r>
      <w:r>
        <w:rPr>
          <w:b w:val="0"/>
          <w:bCs/>
          <w:i/>
        </w:rPr>
        <w:t>Politéia</w:t>
      </w:r>
      <w:r>
        <w:rPr>
          <w:b w:val="0"/>
          <w:bCs/>
        </w:rPr>
        <w:t>, wird, ausgehend von der Frage nach der Gerechtigkeit, ein idealer Staat konzipiert und im Vergleich mit bestehenden oder vergangenen Staats- und Regierungsformen begründet</w:t>
      </w:r>
      <w:r>
        <w:rPr>
          <w:rStyle w:val="4"/>
          <w:b w:val="0"/>
          <w:bCs/>
        </w:rPr>
        <w:footnoteReference w:id="14"/>
      </w:r>
      <w:r>
        <w:rPr>
          <w:b w:val="0"/>
          <w:bCs/>
        </w:rPr>
        <w:t xml:space="preserve">; er entwickelte hier seine berühmte Ideenlehre, nach der die sinnlich wahrnehmbare Welt und ihre Bestandteile nur Abbilder von ewigen und unzerstörbaren Urbildern seien. In späteren Dialogen nähert sich Platon dann insofern der Naturphilosophie seiner Vorgänger an, als er nach der Möglichkeit von Wissen oder Erkenntnis fragt oder sich mit Parmenides’ Theorie des Seins auseinandersetzt; im späten Dialog </w:t>
      </w:r>
      <w:r>
        <w:rPr>
          <w:b w:val="0"/>
          <w:bCs/>
          <w:i/>
        </w:rPr>
        <w:t>Tim</w:t>
      </w:r>
      <w:r>
        <w:rPr>
          <w:rFonts w:ascii="Cambria" w:hAnsi="Cambria"/>
          <w:b w:val="0"/>
          <w:bCs/>
          <w:i/>
        </w:rPr>
        <w:t>á</w:t>
      </w:r>
      <w:r>
        <w:rPr>
          <w:b w:val="0"/>
          <w:bCs/>
          <w:i/>
        </w:rPr>
        <w:t>ios</w:t>
      </w:r>
      <w:r>
        <w:rPr>
          <w:b w:val="0"/>
          <w:bCs/>
        </w:rPr>
        <w:t xml:space="preserve"> schliesslich entwirft Platon ein Bild vom Ursprung der Welt im Schöpfungsakt eines Gottes. Platon hat sich fast mit allen philosophischen Disziplinen und Fragestellungen befasst, die auch in der modernen Philosophie noch eine Rolle spielen. Er gilt als der grosse Anreger der abendländischen Philosophie. </w:t>
      </w:r>
    </w:p>
    <w:p>
      <w:pPr>
        <w:spacing w:line="360" w:lineRule="auto"/>
        <w:jc w:val="both"/>
        <w:rPr>
          <w:b w:val="0"/>
          <w:bCs/>
        </w:rPr>
      </w:pPr>
      <w:r>
        <w:rPr>
          <w:b w:val="0"/>
          <w:bCs/>
        </w:rPr>
        <w:t xml:space="preserve">Bedeutendster Schüler Platons war </w:t>
      </w:r>
      <w:r>
        <w:rPr>
          <w:b w:val="0"/>
          <w:bCs/>
          <w:u w:val="single"/>
        </w:rPr>
        <w:t>Arist</w:t>
      </w:r>
      <w:r>
        <w:rPr>
          <w:rFonts w:ascii="Cambria" w:hAnsi="Cambria"/>
          <w:b w:val="0"/>
          <w:bCs/>
          <w:u w:val="single"/>
        </w:rPr>
        <w:t>ó</w:t>
      </w:r>
      <w:r>
        <w:rPr>
          <w:b w:val="0"/>
          <w:bCs/>
          <w:u w:val="single"/>
        </w:rPr>
        <w:t xml:space="preserve">teles </w:t>
      </w:r>
      <w:r>
        <w:rPr>
          <w:b w:val="0"/>
          <w:bCs/>
        </w:rPr>
        <w:t>(384-322 v. Chr.)</w:t>
      </w:r>
      <w:r>
        <w:rPr>
          <w:rStyle w:val="4"/>
          <w:b w:val="0"/>
          <w:bCs/>
        </w:rPr>
        <w:footnoteReference w:id="15"/>
      </w:r>
      <w:r>
        <w:rPr>
          <w:b w:val="0"/>
          <w:bCs/>
        </w:rPr>
        <w:t>. Er gilt als eigentlicher Universalgelehrter der Antike: Über fast alle damals bekannten Gebiete des Wissens hat er Bücher oder Schriften verfasst (wobei er die Tradition Platons, philosophische Erkenntnisse in einem Dialog zu entwickeln, nicht weiterführte, sondern wieder ganz gewöhnliche Abhandlungen verfasste</w:t>
      </w:r>
      <w:r>
        <w:rPr>
          <w:rStyle w:val="4"/>
          <w:b w:val="0"/>
          <w:bCs/>
        </w:rPr>
        <w:footnoteReference w:id="16"/>
      </w:r>
      <w:r>
        <w:rPr>
          <w:b w:val="0"/>
          <w:bCs/>
        </w:rPr>
        <w:t xml:space="preserve">): zu Naturkunde, Meteorologie und Astronomie ebenso wie zu Fragen der Ethik (die sich mit dem richtigen Handeln befasst, dessen Ziel im Glücklichsein des Menschen bestehe, von grch. </w:t>
      </w:r>
      <w:r>
        <w:rPr>
          <w:b w:val="0"/>
          <w:bCs/>
          <w:i/>
        </w:rPr>
        <w:t>èthos</w:t>
      </w:r>
      <w:r>
        <w:rPr>
          <w:b w:val="0"/>
          <w:bCs/>
        </w:rPr>
        <w:t>, ‚Betragen, Verhalten’), der Staatstheorie</w:t>
      </w:r>
      <w:r>
        <w:rPr>
          <w:rStyle w:val="4"/>
          <w:b w:val="0"/>
          <w:bCs/>
        </w:rPr>
        <w:footnoteReference w:id="17"/>
      </w:r>
      <w:r>
        <w:rPr>
          <w:b w:val="0"/>
          <w:bCs/>
        </w:rPr>
        <w:t xml:space="preserve"> und der Metaphysik (die sich mit den ‚letzten’ Fragen wie nach dem Wesen des Seins oder dem Ursprung der Welt befasst – eine der bedeutendsten Schriften von Aristoteles trägt den Titel </w:t>
      </w:r>
      <w:r>
        <w:rPr>
          <w:b w:val="0"/>
          <w:bCs/>
          <w:i/>
        </w:rPr>
        <w:t>Metaphysik</w:t>
      </w:r>
      <w:r>
        <w:rPr>
          <w:b w:val="0"/>
          <w:bCs/>
        </w:rPr>
        <w:t>).</w:t>
      </w:r>
      <w:r>
        <w:rPr>
          <w:b w:val="0"/>
          <w:bCs/>
          <w:i/>
        </w:rPr>
        <w:t xml:space="preserve"> </w:t>
      </w:r>
      <w:r>
        <w:rPr>
          <w:b w:val="0"/>
          <w:bCs/>
        </w:rPr>
        <w:t xml:space="preserve">Aristoteles gilt als Begründer der wissenschaftlichen Logik (die er unter dem Titel </w:t>
      </w:r>
      <w:r>
        <w:rPr>
          <w:rFonts w:ascii="Cambria" w:hAnsi="Cambria"/>
          <w:b w:val="0"/>
          <w:bCs/>
          <w:i/>
        </w:rPr>
        <w:t>Ó</w:t>
      </w:r>
      <w:r>
        <w:rPr>
          <w:b w:val="0"/>
          <w:bCs/>
          <w:i/>
        </w:rPr>
        <w:t>rganon</w:t>
      </w:r>
      <w:r>
        <w:rPr>
          <w:b w:val="0"/>
          <w:bCs/>
        </w:rPr>
        <w:t xml:space="preserve">, ‚Mittel, Instrument’, zusammenfasste, was so viel meint, dass die Logik, die Lehre von den richtigen und falschen Schlüssen, die methodische Grundlage überhaupt von Wissenschaft sei). Von Aristoteles stammt auch die einzige systematische Abhandlung zur Theorie der Dichtkunst in der Antike, die sogenannte </w:t>
      </w:r>
      <w:r>
        <w:rPr>
          <w:b w:val="0"/>
          <w:bCs/>
          <w:i/>
        </w:rPr>
        <w:t>Poetik</w:t>
      </w:r>
      <w:r>
        <w:rPr>
          <w:b w:val="0"/>
          <w:bCs/>
        </w:rPr>
        <w:t xml:space="preserve"> (von griech. </w:t>
      </w:r>
      <w:r>
        <w:rPr>
          <w:b w:val="0"/>
          <w:bCs/>
          <w:i/>
        </w:rPr>
        <w:t>poietès</w:t>
      </w:r>
      <w:r>
        <w:rPr>
          <w:b w:val="0"/>
          <w:bCs/>
        </w:rPr>
        <w:t xml:space="preserve">, ‚Dichter, Künstler’, wörtlich eigentlich: ‚Macher’), die als gewisse Normen und Vorschriften formulierendes Lehrbuch (vor allem für die Tragödie) bis ins 18. Jh. als massgebend angesehen worden ist (vgl. auch Kap. II). Aristoteles galt vor allem das ganze Mittelalter hindurch als unangefochtene Autorität und ist wahrscheinlich der wirkungsmächtigste Denker überhaupt in der abendländischen Tradition. </w:t>
      </w:r>
    </w:p>
    <w:p>
      <w:pPr>
        <w:spacing w:line="360" w:lineRule="auto"/>
        <w:jc w:val="both"/>
        <w:rPr>
          <w:b w:val="0"/>
          <w:bCs/>
        </w:rPr>
      </w:pPr>
    </w:p>
    <w:p>
      <w:pPr>
        <w:spacing w:line="360" w:lineRule="auto"/>
        <w:jc w:val="both"/>
        <w:rPr>
          <w:b w:val="0"/>
          <w:bCs/>
        </w:rPr>
      </w:pPr>
      <w:r>
        <w:rPr>
          <w:b w:val="0"/>
          <w:bCs/>
        </w:rPr>
        <w:t xml:space="preserve">Das philosophische Denken nach Aristoteles orientierte sich schwerpunktmässig an ethischen Fragen: Nach welchen Gesichtspunkten soll sich mein Handeln orientieren? Wie muss man sich seinen Mitmenschen gegenüber verhalten? Und vor allem: Wie lebe ich, so dass ich möglichst glücklich bin? Zu dieser letzten und der späteren antiken Philosophie wichtigsten Frage gab es, wie sich unschwer denken lässt, völlig unterschiedliche Antworten. Je nach Beantwortung dieser zentralen Frage teilte sich das philosophische Denken nach (und neben) Aristoteles in verschiedene, einander rivalisierende Schulen auf. Eine Aussenseiterposition in dieser Frage, aber gerade aufgrund der Radikalität seiner Antwort doch auch wieder faszinierende Stellung nimmt </w:t>
      </w:r>
      <w:r>
        <w:rPr>
          <w:b w:val="0"/>
          <w:bCs/>
          <w:u w:val="single"/>
        </w:rPr>
        <w:t>Di</w:t>
      </w:r>
      <w:r>
        <w:rPr>
          <w:rFonts w:ascii="Cambria" w:hAnsi="Cambria"/>
          <w:b w:val="0"/>
          <w:bCs/>
          <w:u w:val="single"/>
        </w:rPr>
        <w:t>ó</w:t>
      </w:r>
      <w:r>
        <w:rPr>
          <w:b w:val="0"/>
          <w:bCs/>
          <w:u w:val="single"/>
        </w:rPr>
        <w:t>genes</w:t>
      </w:r>
      <w:r>
        <w:rPr>
          <w:b w:val="0"/>
          <w:bCs/>
        </w:rPr>
        <w:t xml:space="preserve"> (ca. 405-320 v. Chr.) ein: Er predigte die völlige Bedürfnislosigkeit als Voraussetzung für ein glückliches Leben; seine Anhänger nannten sich Kyniker (oder wurden von anderen so genannt – von der Bezeichnung stammt unser Zyniker), was so viel bedeutet wie ‚die, die wie die Hunde leben’ (von grch. </w:t>
      </w:r>
      <w:r>
        <w:rPr>
          <w:b w:val="0"/>
          <w:bCs/>
          <w:i/>
        </w:rPr>
        <w:t>kynos</w:t>
      </w:r>
      <w:r>
        <w:rPr>
          <w:b w:val="0"/>
          <w:bCs/>
        </w:rPr>
        <w:t>, ‚Hund’). Das Modell wurde dann, wenn auch nicht in seiner ganzen Radikalität, durch die mittelalterliche Klosterkultur übernommen</w:t>
      </w:r>
      <w:r>
        <w:rPr>
          <w:rStyle w:val="4"/>
          <w:b w:val="0"/>
          <w:bCs/>
        </w:rPr>
        <w:footnoteReference w:id="18"/>
      </w:r>
      <w:r>
        <w:rPr>
          <w:b w:val="0"/>
          <w:bCs/>
        </w:rPr>
        <w:t xml:space="preserve">. </w:t>
      </w:r>
    </w:p>
    <w:p>
      <w:pPr>
        <w:spacing w:line="360" w:lineRule="auto"/>
        <w:jc w:val="both"/>
        <w:rPr>
          <w:b w:val="0"/>
          <w:bCs/>
        </w:rPr>
      </w:pPr>
      <w:r>
        <w:rPr>
          <w:b w:val="0"/>
          <w:bCs/>
        </w:rPr>
        <w:t xml:space="preserve">Das genaue Gegenteil vertrat </w:t>
      </w:r>
      <w:r>
        <w:rPr>
          <w:b w:val="0"/>
          <w:bCs/>
          <w:u w:val="single"/>
        </w:rPr>
        <w:t>Epik</w:t>
      </w:r>
      <w:r>
        <w:rPr>
          <w:rFonts w:ascii="Cambria" w:hAnsi="Cambria"/>
          <w:b w:val="0"/>
          <w:bCs/>
          <w:u w:val="single"/>
        </w:rPr>
        <w:t>ú</w:t>
      </w:r>
      <w:r>
        <w:rPr>
          <w:b w:val="0"/>
          <w:bCs/>
          <w:u w:val="single"/>
        </w:rPr>
        <w:t>r</w:t>
      </w:r>
      <w:r>
        <w:rPr>
          <w:b w:val="0"/>
          <w:bCs/>
        </w:rPr>
        <w:t xml:space="preserve"> (341-271 v. Chr.): Der Mensch müsse seiner Natur gemäss leben, wobei die Lust anzeige, was dieser Natur gemäss sei, und der Schmerz, was nicht. Lust bedeutet dabei Freiheit von Schmerz im Körper und Freiheit von Furcht in der Seele; ein solcher Zustand von Freiheit ist für Epikur Glück. Er kommt auf eine solche Lebensphilosophie, weil Epikur Anhänger von Demokrit und seiner Lehre von den Atomen als den Grundbausteinen der Welt ist. Epikur zieht daraus die Schlussfolgerung, dass es entweder gar keine Götter gibt oder dass sie sich im Verborgenen halten und sich nicht um die Menschen kümmern; man müsse deshalb weder die Götter fürchten noch zu ihnen beten. Und die Seele sei nur insofern unsterblich, als sie sich nach dem Tod, wie alles andere auch, wieder in Atome auflöse (die selbst unvergänglich seien)</w:t>
      </w:r>
      <w:r>
        <w:rPr>
          <w:rStyle w:val="4"/>
          <w:b w:val="0"/>
          <w:bCs/>
        </w:rPr>
        <w:footnoteReference w:id="19"/>
      </w:r>
      <w:r>
        <w:rPr>
          <w:b w:val="0"/>
          <w:bCs/>
        </w:rPr>
        <w:t xml:space="preserve">. Eine Konsequenz einer solchen Lebenseinstellung ist das Führen eines möglichst individuellen Lebensstils, was gleichbedeutend war mit dem Rückzug aus der Gemeinschaft ins Private. Die philosophische Richtung des Epikureismus hat vor allem im antiken Rom viele Anhänger gefunden. </w:t>
      </w:r>
    </w:p>
    <w:p>
      <w:pPr>
        <w:spacing w:line="360" w:lineRule="auto"/>
        <w:jc w:val="both"/>
        <w:rPr>
          <w:b w:val="0"/>
          <w:bCs/>
        </w:rPr>
      </w:pPr>
      <w:r>
        <w:rPr>
          <w:b w:val="0"/>
          <w:bCs/>
        </w:rPr>
        <w:t xml:space="preserve">Die wirkungsmächtigste philosophische Schule des Altertums ist die (sogenannte) </w:t>
      </w:r>
      <w:r>
        <w:rPr>
          <w:b w:val="0"/>
          <w:bCs/>
          <w:u w:val="single"/>
        </w:rPr>
        <w:t>Sto</w:t>
      </w:r>
      <w:r>
        <w:rPr>
          <w:rFonts w:ascii="Cambria" w:hAnsi="Cambria"/>
          <w:b w:val="0"/>
          <w:bCs/>
          <w:u w:val="single"/>
        </w:rPr>
        <w:t>á</w:t>
      </w:r>
      <w:r>
        <w:rPr>
          <w:b w:val="0"/>
          <w:bCs/>
        </w:rPr>
        <w:t xml:space="preserve">: Gemäss den Stoikern entscheidend für ein glückliches Leben ist die Unterdrückung aller Leidenschaften (der sogenannten Affekte), die ein seelisch ruhiges und gleichmässiges Leben bedrohen könnten. Im Unterschied zum Epikureer geht der Stoiker von einem deterministischen Weltbild aus, d.h. er glaubt an ein Schicksal, dem der Mensch unbedingt unterworfen ist und dem zu widersetzen widersinnig ist (es ist also gemäss dieser Weltsicht weder sinnvoll, sich über irgendetwas sehr zu freuen noch zu ärgern oder Trauer zu verspüren); die Freiheit des Menschen liege darin, sich dem Schicksal zu fügen. Als Begründer der Stoa gilt ein gewisser Zénon, der aus Phönizien (entspricht ungefähr dem heutigen Libanon) stammte und seine Schüler, weil er als Ausländer in Athen über keinen Grundbesitz verfügen durfte, in einem öffentlichen Gebäude, einer „bunten Halle“ (daher der Name der Schule: </w:t>
      </w:r>
      <w:r>
        <w:rPr>
          <w:b w:val="0"/>
          <w:bCs/>
          <w:i/>
        </w:rPr>
        <w:t>sto</w:t>
      </w:r>
      <w:r>
        <w:rPr>
          <w:rFonts w:ascii="Cambria" w:hAnsi="Cambria"/>
          <w:b w:val="0"/>
          <w:bCs/>
          <w:i/>
        </w:rPr>
        <w:t>á</w:t>
      </w:r>
      <w:r>
        <w:rPr>
          <w:b w:val="0"/>
          <w:bCs/>
          <w:i/>
        </w:rPr>
        <w:t xml:space="preserve"> po</w:t>
      </w:r>
      <w:r>
        <w:rPr>
          <w:rFonts w:ascii="Cambria" w:hAnsi="Cambria"/>
          <w:b w:val="0"/>
          <w:bCs/>
          <w:i/>
        </w:rPr>
        <w:t>í</w:t>
      </w:r>
      <w:r>
        <w:rPr>
          <w:b w:val="0"/>
          <w:bCs/>
          <w:i/>
        </w:rPr>
        <w:t>kile</w:t>
      </w:r>
      <w:r>
        <w:rPr>
          <w:b w:val="0"/>
          <w:bCs/>
        </w:rPr>
        <w:t xml:space="preserve">), unterrichtete. Der wichtigste Philosoph aus der römischen Antike, </w:t>
      </w:r>
      <w:r>
        <w:rPr>
          <w:b w:val="0"/>
          <w:bCs/>
          <w:u w:val="single"/>
        </w:rPr>
        <w:t>Séneca</w:t>
      </w:r>
      <w:r>
        <w:rPr>
          <w:b w:val="0"/>
          <w:bCs/>
        </w:rPr>
        <w:t xml:space="preserve"> (4 v. Chr. – 65 n. Chr.), war ein Anhänger dieser philosophischen Schule: Schon die Titel einiger seiner Abhandlungen machen die Stossrichtung der Argumentation deutlich: </w:t>
      </w:r>
      <w:r>
        <w:rPr>
          <w:b w:val="0"/>
          <w:bCs/>
          <w:i/>
        </w:rPr>
        <w:t xml:space="preserve">Von der Gemütsruhe </w:t>
      </w:r>
      <w:r>
        <w:rPr>
          <w:b w:val="0"/>
          <w:bCs/>
        </w:rPr>
        <w:t>(</w:t>
      </w:r>
      <w:r>
        <w:rPr>
          <w:b w:val="0"/>
          <w:bCs/>
          <w:i/>
        </w:rPr>
        <w:t>De tranquillitate animi</w:t>
      </w:r>
      <w:r>
        <w:rPr>
          <w:b w:val="0"/>
          <w:bCs/>
        </w:rPr>
        <w:t>),</w:t>
      </w:r>
      <w:r>
        <w:rPr>
          <w:b w:val="0"/>
          <w:bCs/>
          <w:i/>
        </w:rPr>
        <w:t xml:space="preserve"> Vom glücklichen Leben</w:t>
      </w:r>
      <w:r>
        <w:rPr>
          <w:b w:val="0"/>
          <w:bCs/>
        </w:rPr>
        <w:t xml:space="preserve"> (</w:t>
      </w:r>
      <w:r>
        <w:rPr>
          <w:b w:val="0"/>
          <w:bCs/>
          <w:i/>
        </w:rPr>
        <w:t>De vita beata</w:t>
      </w:r>
      <w:r>
        <w:rPr>
          <w:b w:val="0"/>
          <w:bCs/>
        </w:rPr>
        <w:t>),</w:t>
      </w:r>
      <w:r>
        <w:rPr>
          <w:b w:val="0"/>
          <w:bCs/>
          <w:i/>
        </w:rPr>
        <w:t xml:space="preserve"> Von der Kürze des Lebens </w:t>
      </w:r>
      <w:r>
        <w:rPr>
          <w:b w:val="0"/>
          <w:bCs/>
        </w:rPr>
        <w:t>(</w:t>
      </w:r>
      <w:r>
        <w:rPr>
          <w:b w:val="0"/>
          <w:bCs/>
          <w:i/>
        </w:rPr>
        <w:t>De brevitate vitae</w:t>
      </w:r>
      <w:r>
        <w:rPr>
          <w:b w:val="0"/>
          <w:bCs/>
        </w:rPr>
        <w:t>),</w:t>
      </w:r>
      <w:r>
        <w:rPr>
          <w:b w:val="0"/>
          <w:bCs/>
          <w:i/>
        </w:rPr>
        <w:t xml:space="preserve"> Von der Vorsehung </w:t>
      </w:r>
      <w:r>
        <w:rPr>
          <w:b w:val="0"/>
          <w:bCs/>
        </w:rPr>
        <w:t>(</w:t>
      </w:r>
      <w:r>
        <w:rPr>
          <w:b w:val="0"/>
          <w:bCs/>
          <w:i/>
        </w:rPr>
        <w:t>De providentia</w:t>
      </w:r>
      <w:r>
        <w:rPr>
          <w:b w:val="0"/>
          <w:bCs/>
        </w:rPr>
        <w:t>); Seneca warb geradezu missionarisch für seine Lebenshaltung, etwa durch eine an den den Schüler Luc</w:t>
      </w:r>
      <w:r>
        <w:rPr>
          <w:rFonts w:ascii="Cambria" w:hAnsi="Cambria"/>
          <w:b w:val="0"/>
          <w:bCs/>
        </w:rPr>
        <w:t>í</w:t>
      </w:r>
      <w:r>
        <w:rPr>
          <w:b w:val="0"/>
          <w:bCs/>
        </w:rPr>
        <w:t xml:space="preserve">lius adressierte umfangreiche (aus 124 Briefen bestehende) Sammlung von </w:t>
      </w:r>
      <w:r>
        <w:rPr>
          <w:b w:val="0"/>
          <w:bCs/>
          <w:i/>
        </w:rPr>
        <w:t xml:space="preserve">Briefen moralphilosophischen Inhalts </w:t>
      </w:r>
      <w:r>
        <w:rPr>
          <w:b w:val="0"/>
          <w:bCs/>
        </w:rPr>
        <w:t>(</w:t>
      </w:r>
      <w:r>
        <w:rPr>
          <w:b w:val="0"/>
          <w:bCs/>
          <w:i/>
        </w:rPr>
        <w:t>Epistulae morales ad Lucilium</w:t>
      </w:r>
      <w:r>
        <w:rPr>
          <w:b w:val="0"/>
          <w:bCs/>
        </w:rPr>
        <w:t>)</w:t>
      </w:r>
      <w:r>
        <w:rPr>
          <w:rStyle w:val="4"/>
          <w:b w:val="0"/>
          <w:bCs/>
        </w:rPr>
        <w:footnoteReference w:id="20"/>
      </w:r>
      <w:r>
        <w:rPr>
          <w:b w:val="0"/>
          <w:bCs/>
        </w:rPr>
        <w:t xml:space="preserve">. Die philosophische Richtung der Stoa hatte eine starke Wirkung auch auf das sich ausbildende Christentum.  </w:t>
      </w:r>
    </w:p>
    <w:p>
      <w:pPr>
        <w:spacing w:line="360" w:lineRule="auto"/>
        <w:jc w:val="both"/>
        <w:rPr>
          <w:b w:val="0"/>
          <w:bCs/>
        </w:rPr>
      </w:pPr>
      <w:r>
        <w:rPr>
          <w:b w:val="0"/>
          <w:bCs/>
        </w:rPr>
        <w:t xml:space="preserve"> </w:t>
      </w:r>
    </w:p>
    <w:p>
      <w:pPr>
        <w:spacing w:line="360" w:lineRule="auto"/>
        <w:jc w:val="both"/>
        <w:rPr>
          <w:b w:val="0"/>
          <w:bCs/>
        </w:rPr>
      </w:pPr>
    </w:p>
    <w:p>
      <w:pPr>
        <w:spacing w:line="360" w:lineRule="auto"/>
        <w:jc w:val="both"/>
        <w:rPr>
          <w:b w:val="0"/>
          <w:bCs/>
          <w:sz w:val="28"/>
          <w:szCs w:val="28"/>
        </w:rPr>
      </w:pPr>
    </w:p>
    <w:p>
      <w:pPr>
        <w:spacing w:line="360" w:lineRule="auto"/>
        <w:jc w:val="both"/>
        <w:rPr>
          <w:b w:val="0"/>
          <w:bCs/>
          <w:sz w:val="28"/>
          <w:szCs w:val="28"/>
        </w:rPr>
      </w:pPr>
    </w:p>
    <w:p>
      <w:pPr>
        <w:spacing w:line="360" w:lineRule="auto"/>
        <w:jc w:val="both"/>
        <w:rPr>
          <w:b w:val="0"/>
          <w:bCs/>
          <w:sz w:val="28"/>
          <w:szCs w:val="28"/>
        </w:rPr>
      </w:pPr>
      <w:r>
        <w:rPr>
          <w:b w:val="0"/>
          <w:bCs/>
          <w:sz w:val="28"/>
          <w:szCs w:val="28"/>
        </w:rPr>
        <w:t xml:space="preserve">Fragen Literaturgeschichte der Antike Kap. III </w:t>
      </w:r>
    </w:p>
    <w:p>
      <w:pPr>
        <w:spacing w:line="360" w:lineRule="auto"/>
        <w:jc w:val="both"/>
        <w:rPr>
          <w:b w:val="0"/>
          <w:bCs/>
          <w:sz w:val="28"/>
          <w:szCs w:val="28"/>
        </w:rPr>
      </w:pPr>
    </w:p>
    <w:p>
      <w:pPr>
        <w:numPr>
          <w:ilvl w:val="0"/>
          <w:numId w:val="1"/>
        </w:numPr>
        <w:spacing w:line="360" w:lineRule="auto"/>
        <w:jc w:val="both"/>
        <w:rPr>
          <w:b w:val="0"/>
          <w:bCs/>
          <w:sz w:val="28"/>
          <w:szCs w:val="28"/>
        </w:rPr>
      </w:pPr>
      <w:r>
        <w:rPr>
          <w:b w:val="0"/>
          <w:bCs/>
          <w:sz w:val="28"/>
          <w:szCs w:val="28"/>
        </w:rPr>
        <w:t xml:space="preserve">Womit beschäftigten sich die (sogenannten) Vorsokratiker? Veranschaulichen Sie die Antwort an einem konkreten Beispiel! </w:t>
      </w:r>
    </w:p>
    <w:p>
      <w:pPr>
        <w:numPr>
          <w:ilvl w:val="0"/>
          <w:numId w:val="1"/>
        </w:numPr>
        <w:spacing w:line="360" w:lineRule="auto"/>
        <w:jc w:val="both"/>
        <w:rPr>
          <w:b w:val="0"/>
          <w:bCs/>
          <w:sz w:val="28"/>
          <w:szCs w:val="28"/>
        </w:rPr>
      </w:pPr>
      <w:r>
        <w:rPr>
          <w:b w:val="0"/>
          <w:bCs/>
          <w:sz w:val="28"/>
          <w:szCs w:val="28"/>
        </w:rPr>
        <w:t xml:space="preserve">Was heisst eigentlich ‚Atom‘ und woher kommt die damit verbundene Vorstellung? </w:t>
      </w:r>
    </w:p>
    <w:p>
      <w:pPr>
        <w:numPr>
          <w:ilvl w:val="0"/>
          <w:numId w:val="1"/>
        </w:numPr>
        <w:spacing w:line="360" w:lineRule="auto"/>
        <w:jc w:val="both"/>
        <w:rPr>
          <w:b w:val="0"/>
          <w:bCs/>
          <w:sz w:val="28"/>
          <w:szCs w:val="28"/>
        </w:rPr>
      </w:pPr>
      <w:r>
        <w:rPr>
          <w:b w:val="0"/>
          <w:bCs/>
          <w:sz w:val="28"/>
          <w:szCs w:val="28"/>
        </w:rPr>
        <w:t xml:space="preserve">Welche Vorstelung liegt dem ptolemäischen Weltbild zugrunde und woher stammt es? </w:t>
      </w:r>
    </w:p>
    <w:p>
      <w:pPr>
        <w:numPr>
          <w:ilvl w:val="0"/>
          <w:numId w:val="1"/>
        </w:numPr>
        <w:spacing w:line="360" w:lineRule="auto"/>
        <w:jc w:val="both"/>
        <w:rPr>
          <w:b w:val="0"/>
          <w:bCs/>
          <w:sz w:val="28"/>
          <w:szCs w:val="28"/>
        </w:rPr>
      </w:pPr>
      <w:r>
        <w:rPr>
          <w:b w:val="0"/>
          <w:bCs/>
          <w:sz w:val="28"/>
          <w:szCs w:val="28"/>
        </w:rPr>
        <w:t xml:space="preserve">Was bedeutet etymologisch Physik? Was Biologie? </w:t>
      </w:r>
    </w:p>
    <w:p>
      <w:pPr>
        <w:numPr>
          <w:ilvl w:val="0"/>
          <w:numId w:val="1"/>
        </w:numPr>
        <w:spacing w:line="360" w:lineRule="auto"/>
        <w:jc w:val="both"/>
        <w:rPr>
          <w:b w:val="0"/>
          <w:bCs/>
          <w:sz w:val="28"/>
          <w:szCs w:val="28"/>
        </w:rPr>
      </w:pPr>
      <w:r>
        <w:rPr>
          <w:b w:val="0"/>
          <w:bCs/>
          <w:sz w:val="28"/>
          <w:szCs w:val="28"/>
        </w:rPr>
        <w:t xml:space="preserve">Welcher Zusammenhang besteht zwischen der Einführung der Demokratie und dem Aufschwung der Rhetorik? </w:t>
      </w:r>
    </w:p>
    <w:p>
      <w:pPr>
        <w:numPr>
          <w:ilvl w:val="0"/>
          <w:numId w:val="1"/>
        </w:numPr>
        <w:spacing w:line="360" w:lineRule="auto"/>
        <w:jc w:val="both"/>
        <w:rPr>
          <w:b w:val="0"/>
          <w:bCs/>
          <w:sz w:val="28"/>
          <w:szCs w:val="28"/>
        </w:rPr>
      </w:pPr>
      <w:r>
        <w:rPr>
          <w:b w:val="0"/>
          <w:bCs/>
          <w:sz w:val="28"/>
          <w:szCs w:val="28"/>
        </w:rPr>
        <w:t xml:space="preserve">Worin unterschiedet sich die Philosophie bei Sokrates und Platon von den philosophischen Untersuchungen der Vorsokratiker? Und in welcher Form hat Platon seine Philosophie übermittelt? </w:t>
      </w:r>
    </w:p>
    <w:p>
      <w:pPr>
        <w:numPr>
          <w:ilvl w:val="0"/>
          <w:numId w:val="1"/>
        </w:numPr>
        <w:spacing w:line="360" w:lineRule="auto"/>
        <w:jc w:val="both"/>
        <w:rPr>
          <w:b w:val="0"/>
          <w:bCs/>
          <w:sz w:val="28"/>
          <w:szCs w:val="28"/>
        </w:rPr>
      </w:pPr>
      <w:r>
        <w:rPr>
          <w:b w:val="0"/>
          <w:bCs/>
          <w:sz w:val="28"/>
          <w:szCs w:val="28"/>
        </w:rPr>
        <w:t xml:space="preserve">Was ist Gegenstand von Aristoteles‘ </w:t>
      </w:r>
      <w:r>
        <w:rPr>
          <w:b w:val="0"/>
          <w:bCs/>
          <w:i/>
          <w:iCs/>
          <w:sz w:val="28"/>
          <w:szCs w:val="28"/>
        </w:rPr>
        <w:t>Poetik</w:t>
      </w:r>
      <w:r>
        <w:rPr>
          <w:b w:val="0"/>
          <w:bCs/>
          <w:sz w:val="28"/>
          <w:szCs w:val="28"/>
        </w:rPr>
        <w:t xml:space="preserve">? </w:t>
      </w:r>
    </w:p>
    <w:p>
      <w:pPr>
        <w:numPr>
          <w:ilvl w:val="0"/>
          <w:numId w:val="1"/>
        </w:numPr>
        <w:spacing w:line="360" w:lineRule="auto"/>
        <w:jc w:val="both"/>
        <w:rPr>
          <w:b w:val="0"/>
          <w:bCs/>
          <w:sz w:val="28"/>
          <w:szCs w:val="28"/>
        </w:rPr>
      </w:pPr>
      <w:r>
        <w:rPr>
          <w:b w:val="0"/>
          <w:bCs/>
          <w:sz w:val="28"/>
          <w:szCs w:val="28"/>
        </w:rPr>
        <w:t xml:space="preserve">Welche philosophischen Fragen standen im philosophischen Denken nach Aristoteles im Vordergrund? </w:t>
      </w:r>
    </w:p>
    <w:p>
      <w:pPr>
        <w:numPr>
          <w:ilvl w:val="0"/>
          <w:numId w:val="1"/>
        </w:numPr>
        <w:spacing w:line="360" w:lineRule="auto"/>
        <w:jc w:val="both"/>
        <w:rPr>
          <w:b w:val="0"/>
          <w:bCs/>
          <w:sz w:val="28"/>
          <w:szCs w:val="28"/>
        </w:rPr>
      </w:pPr>
      <w:r>
        <w:rPr>
          <w:b w:val="0"/>
          <w:bCs/>
          <w:sz w:val="28"/>
          <w:szCs w:val="28"/>
        </w:rPr>
        <w:t xml:space="preserve">Welche gegensätzlichen Positionen in Bezug auf die Frage, wie man am glücklichsten leben soll, vertraten Diogenes und Epikur? </w:t>
      </w:r>
    </w:p>
    <w:p>
      <w:pPr>
        <w:numPr>
          <w:ilvl w:val="0"/>
          <w:numId w:val="1"/>
        </w:numPr>
        <w:spacing w:line="360" w:lineRule="auto"/>
        <w:jc w:val="both"/>
        <w:rPr>
          <w:b w:val="0"/>
          <w:bCs/>
          <w:sz w:val="28"/>
          <w:szCs w:val="28"/>
        </w:rPr>
      </w:pPr>
      <w:r>
        <w:rPr>
          <w:b w:val="0"/>
          <w:bCs/>
          <w:sz w:val="28"/>
          <w:szCs w:val="28"/>
        </w:rPr>
        <w:t>Nach welchen Grundsätzen lebten die Vertreter der Stoa?</w:t>
      </w:r>
    </w:p>
    <w:p>
      <w:pPr>
        <w:spacing w:line="360" w:lineRule="auto"/>
        <w:jc w:val="both"/>
        <w:rPr>
          <w:b w:val="0"/>
          <w:bCs/>
          <w:sz w:val="28"/>
          <w:szCs w:val="28"/>
        </w:rPr>
      </w:pPr>
    </w:p>
    <w:p>
      <w:pPr>
        <w:spacing w:line="360" w:lineRule="auto"/>
        <w:jc w:val="both"/>
        <w:rPr>
          <w:b w:val="0"/>
          <w:bCs/>
          <w:sz w:val="28"/>
          <w:szCs w:val="28"/>
        </w:rPr>
      </w:pPr>
    </w:p>
    <w:p>
      <w:pPr>
        <w:rPr>
          <w:b w:val="0"/>
          <w:bC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PakType Naskh Basic"/>
    <w:panose1 w:val="00000000000000000000"/>
    <w:charset w:val="86"/>
    <w:family w:val="auto"/>
    <w:pitch w:val="default"/>
    <w:sig w:usb0="00000000" w:usb1="00000000" w:usb2="00000000" w:usb3="00000000" w:csb0="00000000" w:csb1="00000000"/>
  </w:font>
  <w:font w:name="PakType Naskh Basic">
    <w:panose1 w:val="00000400000000000000"/>
    <w:charset w:val="00"/>
    <w:family w:val="auto"/>
    <w:pitch w:val="default"/>
    <w:sig w:usb0="80006003" w:usb1="8000000A" w:usb2="00000008" w:usb3="00000000" w:csb0="00000041" w:csb1="20080000"/>
  </w:font>
  <w:font w:name="等线">
    <w:altName w:val="PakType Naskh Basic"/>
    <w:panose1 w:val="00000000000000000000"/>
    <w:charset w:val="00"/>
    <w:family w:val="auto"/>
    <w:pitch w:val="default"/>
    <w:sig w:usb0="00000000" w:usb1="00000000" w:usb2="00000000" w:usb3="00000000" w:csb0="00000000" w:csb1="00000000"/>
  </w:font>
  <w:font w:name="Cambria">
    <w:altName w:val="FreeSerif"/>
    <w:panose1 w:val="02040503050406030204"/>
    <w:charset w:val="00"/>
    <w:family w:val="roman"/>
    <w:pitch w:val="default"/>
    <w:sig w:usb0="00000000" w:usb1="00000000" w:usb2="02000000" w:usb3="00000000" w:csb0="0000019F" w:csb1="00000000"/>
  </w:font>
  <w:font w:name="FreeSerif">
    <w:panose1 w:val="02020603050405020304"/>
    <w:charset w:val="00"/>
    <w:family w:val="auto"/>
    <w:pitch w:val="default"/>
    <w:sig w:usb0="E59FAFFF" w:usb1="C200FDFF" w:usb2="43501B29" w:usb3="04000003" w:csb0="6001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2">
    <w:p>
      <w:pPr>
        <w:spacing w:before="0" w:after="0" w:line="240" w:lineRule="auto"/>
      </w:pPr>
      <w:r>
        <w:separator/>
      </w:r>
    </w:p>
  </w:footnote>
  <w:footnote w:type="continuationSeparator" w:id="43">
    <w:p>
      <w:pPr>
        <w:spacing w:before="0" w:after="0" w:line="240" w:lineRule="auto"/>
      </w:pPr>
      <w:r>
        <w:continuationSeparator/>
      </w:r>
    </w:p>
  </w:footnote>
  <w:footnote w:id="0">
    <w:p>
      <w:pPr>
        <w:pStyle w:val="5"/>
        <w:rPr>
          <w:sz w:val="20"/>
          <w:szCs w:val="20"/>
          <w:lang w:val="de-CH"/>
        </w:rPr>
      </w:pPr>
      <w:r>
        <w:rPr>
          <w:rStyle w:val="4"/>
        </w:rPr>
        <w:footnoteRef/>
      </w:r>
      <w:r>
        <w:t xml:space="preserve"> </w:t>
      </w:r>
      <w:r>
        <w:rPr>
          <w:sz w:val="20"/>
          <w:szCs w:val="20"/>
          <w:lang w:val="de-CH"/>
        </w:rPr>
        <w:t xml:space="preserve">Thales machte auch astronomische Beobachtungen, die so genau waren, dass er 585 v. Chr. eine Sonnenfinsternis voraussagen konnte; er gilt als Prototyp des weltfremden Theoretikers, der – so eine berühmte Anekdote über Thales – bei der Betrachtung des Sternenhimmels in einen Brunnen gefallen sein soll.  </w:t>
      </w:r>
    </w:p>
  </w:footnote>
  <w:footnote w:id="1">
    <w:p>
      <w:pPr>
        <w:pStyle w:val="5"/>
        <w:rPr>
          <w:sz w:val="20"/>
          <w:szCs w:val="20"/>
          <w:lang w:val="de-CH"/>
        </w:rPr>
      </w:pPr>
      <w:r>
        <w:rPr>
          <w:rStyle w:val="4"/>
        </w:rPr>
        <w:footnoteRef/>
      </w:r>
      <w:r>
        <w:t xml:space="preserve"> </w:t>
      </w:r>
      <w:r>
        <w:rPr>
          <w:sz w:val="20"/>
          <w:szCs w:val="20"/>
          <w:lang w:val="de-CH"/>
        </w:rPr>
        <w:t>Von Heraklit stammen eine Reihe von pointiert zugespitzten Formulierungen wie „Alles fliesst“ (griech.: p</w:t>
      </w:r>
      <w:r>
        <w:rPr>
          <w:rFonts w:ascii="Cambria" w:hAnsi="Cambria"/>
          <w:sz w:val="20"/>
          <w:szCs w:val="20"/>
          <w:lang w:val="de-CH"/>
        </w:rPr>
        <w:t>á</w:t>
      </w:r>
      <w:r>
        <w:rPr>
          <w:sz w:val="20"/>
          <w:szCs w:val="20"/>
          <w:lang w:val="de-CH"/>
        </w:rPr>
        <w:t xml:space="preserve">nta rhei), „Es ist unmöglich, zweimal in denselben Fluss zu steigen“ oder „Der Krieg ist der Vater aller Dinge“. </w:t>
      </w:r>
    </w:p>
  </w:footnote>
  <w:footnote w:id="2">
    <w:p>
      <w:pPr>
        <w:pStyle w:val="5"/>
        <w:rPr>
          <w:sz w:val="20"/>
          <w:szCs w:val="20"/>
          <w:lang w:val="de-CH"/>
        </w:rPr>
      </w:pPr>
      <w:r>
        <w:rPr>
          <w:rStyle w:val="4"/>
        </w:rPr>
        <w:footnoteRef/>
      </w:r>
      <w:r>
        <w:t xml:space="preserve"> </w:t>
      </w:r>
      <w:r>
        <w:rPr>
          <w:sz w:val="20"/>
          <w:szCs w:val="20"/>
          <w:lang w:val="de-CH"/>
        </w:rPr>
        <w:t xml:space="preserve">Pythagoras </w:t>
      </w:r>
      <w:r>
        <w:rPr>
          <w:sz w:val="20"/>
          <w:szCs w:val="20"/>
        </w:rPr>
        <w:t xml:space="preserve">hat aufgrund ähnlicher Überlegungen auch eine Musiktheorie entwickelt, die auf einer Tonleiter von zwölf Tönen basiert, die in einem gleichmässigen Verhältnis zueinander stehen. Pythagoras war ein sehr origineller Denker: So ging er von der Unsterblichkeit der Seele aus, die aber ihre Reinheit mit dem Körper einbüsst, und entwickelte auf dieser Grundlage eine Seelenwanderungslehre – eine im europäischen Kontext ungewöhnliche Vorstellung (sie findet sich vor allem in östlichen Religionen wie dem Hinduismus und dem Buddhismus). Er gründete eine Art Sekte, deren Mitglieder sich zur Geheimhaltung verpflichten mussten. Wie vor ihm Thales und nach ihm Sokrates (und wie die Religionsstifter Jesus und Buddha) hat er seine Lehren nur mündlich weitergegeben, selbst keine Schriften verfasst. </w:t>
      </w:r>
    </w:p>
  </w:footnote>
  <w:footnote w:id="3">
    <w:p>
      <w:pPr>
        <w:pStyle w:val="5"/>
        <w:rPr>
          <w:sz w:val="20"/>
          <w:szCs w:val="20"/>
          <w:lang w:val="de-CH"/>
        </w:rPr>
      </w:pPr>
      <w:r>
        <w:rPr>
          <w:rStyle w:val="4"/>
        </w:rPr>
        <w:footnoteRef/>
      </w:r>
      <w:r>
        <w:t xml:space="preserve"> </w:t>
      </w:r>
      <w:r>
        <w:rPr>
          <w:sz w:val="20"/>
          <w:szCs w:val="20"/>
        </w:rPr>
        <w:t xml:space="preserve">Die Erkenntnisse der Geometrie wurden dann im 4. Jh. v. Chr. durch Euklid in einem Lehrbuch (den </w:t>
      </w:r>
      <w:r>
        <w:rPr>
          <w:i/>
          <w:sz w:val="20"/>
          <w:szCs w:val="20"/>
        </w:rPr>
        <w:t>Elementen</w:t>
      </w:r>
      <w:r>
        <w:rPr>
          <w:sz w:val="20"/>
          <w:szCs w:val="20"/>
        </w:rPr>
        <w:t>) zusammengefasst, das noch bis ins 20. Jh. als Grundbuch der Geometrie galt.</w:t>
      </w:r>
      <w:r>
        <w:t xml:space="preserve"> </w:t>
      </w:r>
      <w:r>
        <w:rPr>
          <w:sz w:val="20"/>
          <w:szCs w:val="20"/>
        </w:rPr>
        <w:t xml:space="preserve">Weder die Griechen noch die Römer haben eine eigentliche Arithmetik entwickelt: Das Rechnen mit Zahlen ist offenbar erst mit der Einführung des Dezimalsystems interessant geworden; die Zahl Null, die dafür nötig ist, ist aber erst im Mittelalter von den Arabern in die europäische Mathematik eingeführt worden. </w:t>
      </w:r>
    </w:p>
  </w:footnote>
  <w:footnote w:id="4">
    <w:p>
      <w:pPr>
        <w:pStyle w:val="5"/>
        <w:rPr>
          <w:sz w:val="20"/>
          <w:szCs w:val="20"/>
          <w:lang w:val="de-CH"/>
        </w:rPr>
      </w:pPr>
      <w:r>
        <w:rPr>
          <w:rStyle w:val="4"/>
        </w:rPr>
        <w:footnoteRef/>
      </w:r>
      <w:r>
        <w:t xml:space="preserve"> </w:t>
      </w:r>
      <w:r>
        <w:rPr>
          <w:sz w:val="20"/>
          <w:szCs w:val="20"/>
        </w:rPr>
        <w:t xml:space="preserve">Demokrit galt in der Antike als „lachender Philosoph“ (weil er u.a. auch lehrte, dass das Ziel des menschlichen Lebens darin liege, möglichst immer heiter zu sein); einer berühmten Anekdote zufolge sei Demokrit aus seiner Heimatstadt </w:t>
      </w:r>
      <w:r>
        <w:rPr>
          <w:rFonts w:ascii="Cambria" w:hAnsi="Cambria"/>
          <w:sz w:val="20"/>
          <w:szCs w:val="20"/>
        </w:rPr>
        <w:t>Á</w:t>
      </w:r>
      <w:r>
        <w:rPr>
          <w:sz w:val="20"/>
          <w:szCs w:val="20"/>
        </w:rPr>
        <w:t xml:space="preserve">bdera vertrieben worden, weil seine Mitbürger ihn für verrückt hielten; die ganze spätere Antike hindurch galten die Einwohner von Abdera deshalb als sprichwörtliche Narren (als die Schildbürger oder Ostfriesen der Antike). </w:t>
      </w:r>
    </w:p>
  </w:footnote>
  <w:footnote w:id="5">
    <w:p>
      <w:pPr>
        <w:pStyle w:val="5"/>
        <w:rPr>
          <w:sz w:val="20"/>
          <w:szCs w:val="20"/>
          <w:lang w:val="de-CH"/>
        </w:rPr>
      </w:pPr>
      <w:r>
        <w:rPr>
          <w:rStyle w:val="4"/>
        </w:rPr>
        <w:footnoteRef/>
      </w:r>
      <w:r>
        <w:t xml:space="preserve"> </w:t>
      </w:r>
      <w:r>
        <w:rPr>
          <w:sz w:val="20"/>
          <w:szCs w:val="20"/>
          <w:lang w:val="de-CH"/>
        </w:rPr>
        <w:t xml:space="preserve">Eine eigentliche experimentelle Physik gibt es aber erst seit dem Ende des 17. Jh.; als ihr Begründer gilt Isaac Newton. </w:t>
      </w:r>
    </w:p>
  </w:footnote>
  <w:footnote w:id="6">
    <w:p>
      <w:pPr>
        <w:pStyle w:val="5"/>
        <w:rPr>
          <w:sz w:val="20"/>
          <w:szCs w:val="20"/>
          <w:lang w:val="de-CH"/>
        </w:rPr>
      </w:pPr>
      <w:r>
        <w:rPr>
          <w:rStyle w:val="4"/>
        </w:rPr>
        <w:footnoteRef/>
      </w:r>
      <w:r>
        <w:t xml:space="preserve"> </w:t>
      </w:r>
      <w:r>
        <w:rPr>
          <w:sz w:val="20"/>
          <w:szCs w:val="20"/>
          <w:lang w:val="de-CH"/>
        </w:rPr>
        <w:t xml:space="preserve">Um sein Leben ranken sich allerlei Legenden: So soll er mittels von ihm konstruierten Brennspiegeln die Schiffe der Angreifer in Brand gesetzt haben. In einer tragischen Anekdote ist sein Ende überliefert: Nach der Eroberung von Syrakus (die er schlussendlich doch nicht verhindern konnte) wollte ihn, der gerade daran war, geometrische Figuren in den Sand zu zeichnen, ein römischer Soldat verhaften; Archimedes soll ihm verärgert zugerufen haben: „Störe meine Kreise nicht!“; daraufhin habe ihn der Soldat kurzerhand erschlagen.  </w:t>
      </w:r>
    </w:p>
  </w:footnote>
  <w:footnote w:id="7">
    <w:p>
      <w:pPr>
        <w:pStyle w:val="5"/>
        <w:rPr>
          <w:sz w:val="20"/>
          <w:szCs w:val="20"/>
          <w:lang w:val="de-CH"/>
        </w:rPr>
      </w:pPr>
      <w:r>
        <w:rPr>
          <w:rStyle w:val="4"/>
        </w:rPr>
        <w:footnoteRef/>
      </w:r>
      <w:r>
        <w:t xml:space="preserve"> </w:t>
      </w:r>
      <w:r>
        <w:rPr>
          <w:sz w:val="20"/>
          <w:szCs w:val="20"/>
        </w:rPr>
        <w:t>Wie populär die Astronomie bei den Griechen war, lässt sich auch dran ermessen, dass im 3. Jh. v. Chr. der Dichter Ar</w:t>
      </w:r>
      <w:r>
        <w:rPr>
          <w:rFonts w:ascii="Cambria" w:hAnsi="Cambria"/>
          <w:sz w:val="20"/>
          <w:szCs w:val="20"/>
        </w:rPr>
        <w:t>á</w:t>
      </w:r>
      <w:r>
        <w:rPr>
          <w:sz w:val="20"/>
          <w:szCs w:val="20"/>
        </w:rPr>
        <w:t xml:space="preserve">t ein astronomisches Lehrgedicht verfasst hat (dem er den Titel </w:t>
      </w:r>
      <w:r>
        <w:rPr>
          <w:i/>
          <w:sz w:val="20"/>
          <w:szCs w:val="20"/>
        </w:rPr>
        <w:t>Phain</w:t>
      </w:r>
      <w:r>
        <w:rPr>
          <w:rFonts w:ascii="Cambria" w:hAnsi="Cambria"/>
          <w:i/>
          <w:sz w:val="20"/>
          <w:szCs w:val="20"/>
        </w:rPr>
        <w:t>ó</w:t>
      </w:r>
      <w:r>
        <w:rPr>
          <w:i/>
          <w:sz w:val="20"/>
          <w:szCs w:val="20"/>
        </w:rPr>
        <w:t>mena</w:t>
      </w:r>
      <w:r>
        <w:rPr>
          <w:sz w:val="20"/>
          <w:szCs w:val="20"/>
        </w:rPr>
        <w:t xml:space="preserve">, ‚Himmelserscheinungen’, gab – das dt. Fremdwort ‚Phänomen’ geht auf griech. </w:t>
      </w:r>
      <w:r>
        <w:rPr>
          <w:i/>
          <w:sz w:val="20"/>
          <w:szCs w:val="20"/>
        </w:rPr>
        <w:t>phain</w:t>
      </w:r>
      <w:r>
        <w:rPr>
          <w:rFonts w:ascii="Cambria" w:hAnsi="Cambria"/>
          <w:i/>
          <w:sz w:val="20"/>
          <w:szCs w:val="20"/>
        </w:rPr>
        <w:t>ó</w:t>
      </w:r>
      <w:r>
        <w:rPr>
          <w:i/>
          <w:sz w:val="20"/>
          <w:szCs w:val="20"/>
        </w:rPr>
        <w:t>menon</w:t>
      </w:r>
      <w:r>
        <w:rPr>
          <w:sz w:val="20"/>
          <w:szCs w:val="20"/>
        </w:rPr>
        <w:t xml:space="preserve"> zurück). In Erinnerung an die antike Astronomie wurden den Planeten unseres Sonnensystems Namen von Gottheiten der antiken Mythologie gegeben. </w:t>
      </w:r>
    </w:p>
  </w:footnote>
  <w:footnote w:id="8">
    <w:p>
      <w:pPr>
        <w:pStyle w:val="5"/>
        <w:rPr>
          <w:sz w:val="20"/>
          <w:szCs w:val="20"/>
          <w:lang w:val="de-CH"/>
        </w:rPr>
      </w:pPr>
      <w:r>
        <w:rPr>
          <w:rStyle w:val="4"/>
        </w:rPr>
        <w:footnoteRef/>
      </w:r>
      <w:r>
        <w:t xml:space="preserve"> </w:t>
      </w:r>
      <w:r>
        <w:rPr>
          <w:sz w:val="20"/>
          <w:szCs w:val="20"/>
          <w:lang w:val="de-CH"/>
        </w:rPr>
        <w:t xml:space="preserve">Als Begründer der systematischen Biologie gilt der schwedische Naturforscher Carl von Linné (1707-1778); von ihm stammt auch die noch heute verwendete lateinische Bezeichnung der Lebewesen nach Genus und Spezies. </w:t>
      </w:r>
    </w:p>
  </w:footnote>
  <w:footnote w:id="9">
    <w:p>
      <w:pPr>
        <w:pStyle w:val="5"/>
        <w:rPr>
          <w:sz w:val="20"/>
          <w:szCs w:val="20"/>
          <w:lang w:val="de-CH"/>
        </w:rPr>
      </w:pPr>
      <w:r>
        <w:rPr>
          <w:rStyle w:val="4"/>
        </w:rPr>
        <w:footnoteRef/>
      </w:r>
      <w:r>
        <w:t xml:space="preserve"> </w:t>
      </w:r>
      <w:r>
        <w:rPr>
          <w:sz w:val="20"/>
          <w:szCs w:val="20"/>
        </w:rPr>
        <w:t xml:space="preserve">Der Autor wird so genannt, weil noch ein Plinius der Jüngere (61-112 n. Chr.) existiert, ein Neffe des Älteren, der eine Reihe von kulturgeschichtlich interessanten Briefen hinterlassen hat. Plinius der Ältere war Berufsoffizier: Als Kommandant bei der römischen Kriegsmarine ist er beim Ausbruch des Vesuv am 25. August 79 n. Chr. ums Leben gekommen (vom Vesuvausbruch, der die Städte Pompeji und Herculaneum vollständig zerstört hat, berichtet Plinius der Jüngere in einem berühmten Brief). </w:t>
      </w:r>
    </w:p>
  </w:footnote>
  <w:footnote w:id="10">
    <w:p>
      <w:pPr>
        <w:pStyle w:val="5"/>
        <w:rPr>
          <w:sz w:val="20"/>
          <w:szCs w:val="20"/>
          <w:lang w:val="de-CH"/>
        </w:rPr>
      </w:pPr>
      <w:r>
        <w:rPr>
          <w:rStyle w:val="4"/>
        </w:rPr>
        <w:footnoteRef/>
      </w:r>
      <w:r>
        <w:t xml:space="preserve"> </w:t>
      </w:r>
      <w:r>
        <w:rPr>
          <w:sz w:val="20"/>
          <w:szCs w:val="20"/>
          <w:lang w:val="de-CH"/>
        </w:rPr>
        <w:t xml:space="preserve">Der Einführung der Demokratie (von grch. </w:t>
      </w:r>
      <w:r>
        <w:rPr>
          <w:i/>
          <w:sz w:val="20"/>
          <w:szCs w:val="20"/>
          <w:lang w:val="de-CH"/>
        </w:rPr>
        <w:t>dèmos</w:t>
      </w:r>
      <w:r>
        <w:rPr>
          <w:sz w:val="20"/>
          <w:szCs w:val="20"/>
          <w:lang w:val="de-CH"/>
        </w:rPr>
        <w:t xml:space="preserve">, ‚Volk’, und </w:t>
      </w:r>
      <w:r>
        <w:rPr>
          <w:i/>
          <w:sz w:val="20"/>
          <w:szCs w:val="20"/>
          <w:lang w:val="de-CH"/>
        </w:rPr>
        <w:t>kr</w:t>
      </w:r>
      <w:r>
        <w:rPr>
          <w:rFonts w:ascii="Cambria" w:hAnsi="Cambria"/>
          <w:i/>
          <w:sz w:val="20"/>
          <w:szCs w:val="20"/>
          <w:lang w:val="de-CH"/>
        </w:rPr>
        <w:t>á</w:t>
      </w:r>
      <w:r>
        <w:rPr>
          <w:i/>
          <w:sz w:val="20"/>
          <w:szCs w:val="20"/>
          <w:lang w:val="de-CH"/>
        </w:rPr>
        <w:t>tein</w:t>
      </w:r>
      <w:r>
        <w:rPr>
          <w:sz w:val="20"/>
          <w:szCs w:val="20"/>
          <w:lang w:val="de-CH"/>
        </w:rPr>
        <w:t xml:space="preserve">, ‚herrschen’) ist auch die Entstehung der Rhetorik zu verdanken (von grch. </w:t>
      </w:r>
      <w:r>
        <w:rPr>
          <w:i/>
          <w:sz w:val="20"/>
          <w:szCs w:val="20"/>
          <w:lang w:val="de-CH"/>
        </w:rPr>
        <w:t>rhètor</w:t>
      </w:r>
      <w:r>
        <w:rPr>
          <w:sz w:val="20"/>
          <w:szCs w:val="20"/>
          <w:lang w:val="de-CH"/>
        </w:rPr>
        <w:t>, ‚Redner’,) die Theorie über die Vorbereitung und Präsentation einer Rede: Erst das vergleichsweise freie soziale Zusammenleben ermöglichte die politische Rede (in der etwa ein Kandidat für ein politisches Amt für sich werben konnte) oder die Gerichtsrede (die in einem nach fairen Regeln ablaufenden Gerichtsprozess vor dem Richter oder vor Geschworenen sich für einen Angeklagten einsetzen konnte). Der berühmteste Redner der griechischen Antike ist Dem</w:t>
      </w:r>
      <w:r>
        <w:rPr>
          <w:rFonts w:ascii="Cambria" w:hAnsi="Cambria"/>
          <w:sz w:val="20"/>
          <w:szCs w:val="20"/>
          <w:lang w:val="de-CH"/>
        </w:rPr>
        <w:t>ó</w:t>
      </w:r>
      <w:r>
        <w:rPr>
          <w:sz w:val="20"/>
          <w:szCs w:val="20"/>
          <w:lang w:val="de-CH"/>
        </w:rPr>
        <w:t xml:space="preserve">sthenes (384-322 v. Chr.), ein Athener Politiker, der sich in politischen Reden (vergeblich) gegen die Annexion Athens durch den makedonischen König Philipp eingesetzt hat (den sogenannten </w:t>
      </w:r>
      <w:r>
        <w:rPr>
          <w:i/>
          <w:sz w:val="20"/>
          <w:szCs w:val="20"/>
          <w:lang w:val="de-CH"/>
        </w:rPr>
        <w:t>Philippika</w:t>
      </w:r>
      <w:r>
        <w:rPr>
          <w:sz w:val="20"/>
          <w:szCs w:val="20"/>
          <w:lang w:val="de-CH"/>
        </w:rPr>
        <w:t>); in römischer Zeit als Redner bedeutsam war der Anwalt und spätere Staatsmann C</w:t>
      </w:r>
      <w:r>
        <w:rPr>
          <w:rFonts w:ascii="Cambria" w:hAnsi="Cambria"/>
          <w:sz w:val="20"/>
          <w:szCs w:val="20"/>
          <w:lang w:val="de-CH"/>
        </w:rPr>
        <w:t>í</w:t>
      </w:r>
      <w:r>
        <w:rPr>
          <w:sz w:val="20"/>
          <w:szCs w:val="20"/>
          <w:lang w:val="de-CH"/>
        </w:rPr>
        <w:t>cero (106-43 v. Chr.), der auch eine umfangreiche Redetheorie (</w:t>
      </w:r>
      <w:r>
        <w:rPr>
          <w:i/>
          <w:sz w:val="20"/>
          <w:szCs w:val="20"/>
          <w:lang w:val="de-CH"/>
        </w:rPr>
        <w:t>Über den Redner – De orat</w:t>
      </w:r>
      <w:r>
        <w:rPr>
          <w:rFonts w:ascii="Cambria" w:hAnsi="Cambria"/>
          <w:i/>
          <w:sz w:val="20"/>
          <w:szCs w:val="20"/>
          <w:lang w:val="de-CH"/>
        </w:rPr>
        <w:t>ó</w:t>
      </w:r>
      <w:r>
        <w:rPr>
          <w:i/>
          <w:sz w:val="20"/>
          <w:szCs w:val="20"/>
          <w:lang w:val="de-CH"/>
        </w:rPr>
        <w:t>re</w:t>
      </w:r>
      <w:r>
        <w:rPr>
          <w:sz w:val="20"/>
          <w:szCs w:val="20"/>
          <w:lang w:val="de-CH"/>
        </w:rPr>
        <w:t xml:space="preserve">) verfasst hat. </w:t>
      </w:r>
    </w:p>
  </w:footnote>
  <w:footnote w:id="11">
    <w:p>
      <w:pPr>
        <w:pStyle w:val="5"/>
        <w:rPr>
          <w:sz w:val="20"/>
          <w:szCs w:val="20"/>
          <w:lang w:val="de-CH"/>
        </w:rPr>
      </w:pPr>
      <w:r>
        <w:rPr>
          <w:rStyle w:val="4"/>
        </w:rPr>
        <w:footnoteRef/>
      </w:r>
      <w:r>
        <w:t xml:space="preserve"> </w:t>
      </w:r>
      <w:r>
        <w:rPr>
          <w:sz w:val="20"/>
          <w:szCs w:val="20"/>
          <w:lang w:val="de-CH"/>
        </w:rPr>
        <w:t xml:space="preserve">Das hat Sokrates mit Jesus v. Nazareth gemeinsam, dass sie beide, obwohl höchst bedeutend als Figuren der Geschichte, als historische Personen nur schwer fassbar sind. </w:t>
      </w:r>
    </w:p>
  </w:footnote>
  <w:footnote w:id="12">
    <w:p>
      <w:pPr>
        <w:pStyle w:val="5"/>
        <w:rPr>
          <w:sz w:val="20"/>
          <w:szCs w:val="20"/>
          <w:lang w:val="de-CH"/>
        </w:rPr>
      </w:pPr>
      <w:r>
        <w:rPr>
          <w:rStyle w:val="4"/>
        </w:rPr>
        <w:footnoteRef/>
      </w:r>
      <w:r>
        <w:t xml:space="preserve"> </w:t>
      </w:r>
      <w:r>
        <w:rPr>
          <w:sz w:val="20"/>
          <w:szCs w:val="20"/>
          <w:lang w:val="de-CH"/>
        </w:rPr>
        <w:t xml:space="preserve">Quellen für Sokrates’ Leben sind vor allem die Dialoge seines Schülers Platon (in denen Sokrates als Gesprächspartner auftritt) sowie eine Erinnerungsschrift seines (wahrscheinlich nur kurzzeitigen) Schülers Xénophon (eines späteren Berufsoffiziers), die sogenannten </w:t>
      </w:r>
      <w:r>
        <w:rPr>
          <w:i/>
          <w:sz w:val="20"/>
          <w:szCs w:val="20"/>
          <w:lang w:val="de-CH"/>
        </w:rPr>
        <w:t>Memorabilien</w:t>
      </w:r>
      <w:r>
        <w:rPr>
          <w:sz w:val="20"/>
          <w:szCs w:val="20"/>
          <w:lang w:val="de-CH"/>
        </w:rPr>
        <w:t xml:space="preserve"> (dt. auch unter dem Titel: </w:t>
      </w:r>
      <w:r>
        <w:rPr>
          <w:i/>
          <w:sz w:val="20"/>
          <w:szCs w:val="20"/>
          <w:lang w:val="de-CH"/>
        </w:rPr>
        <w:t>Erinnerungen an Sokrates</w:t>
      </w:r>
      <w:r>
        <w:rPr>
          <w:sz w:val="20"/>
          <w:szCs w:val="20"/>
          <w:lang w:val="de-CH"/>
        </w:rPr>
        <w:t xml:space="preserve">), die aber ein sehr unterschiedliches Bild von Sokrates geben. </w:t>
      </w:r>
    </w:p>
  </w:footnote>
  <w:footnote w:id="13">
    <w:p>
      <w:pPr>
        <w:pStyle w:val="5"/>
        <w:rPr>
          <w:sz w:val="20"/>
          <w:szCs w:val="20"/>
          <w:lang w:val="de-CH"/>
        </w:rPr>
      </w:pPr>
      <w:r>
        <w:rPr>
          <w:rStyle w:val="4"/>
        </w:rPr>
        <w:footnoteRef/>
      </w:r>
      <w:r>
        <w:t xml:space="preserve"> </w:t>
      </w:r>
      <w:r>
        <w:rPr>
          <w:sz w:val="20"/>
          <w:szCs w:val="20"/>
          <w:lang w:val="de-CH"/>
        </w:rPr>
        <w:t xml:space="preserve">Von der Anklage gegen Sokrates weiss man durch eine (nicht als Dialog abgefasste) Schrift Platons, die sogenannte </w:t>
      </w:r>
      <w:r>
        <w:rPr>
          <w:i/>
          <w:sz w:val="20"/>
          <w:szCs w:val="20"/>
          <w:lang w:val="de-CH"/>
        </w:rPr>
        <w:t>Apologie</w:t>
      </w:r>
      <w:r>
        <w:rPr>
          <w:sz w:val="20"/>
          <w:szCs w:val="20"/>
          <w:lang w:val="de-CH"/>
        </w:rPr>
        <w:t xml:space="preserve"> (‚Die Verteidigung von Sokrates’), Bescheid, seinen Tod (durch Suizid – Sokrates wurde gezwungen, einen Becher mit Gift, den sogenannten Schierlingsbecher, zu trinken) schildert Platon am Schluss des Dialogs </w:t>
      </w:r>
      <w:r>
        <w:rPr>
          <w:i/>
          <w:sz w:val="20"/>
          <w:szCs w:val="20"/>
          <w:lang w:val="de-CH"/>
        </w:rPr>
        <w:t>Phaidon</w:t>
      </w:r>
      <w:r>
        <w:rPr>
          <w:sz w:val="20"/>
          <w:szCs w:val="20"/>
          <w:lang w:val="de-CH"/>
        </w:rPr>
        <w:t xml:space="preserve">. </w:t>
      </w:r>
    </w:p>
  </w:footnote>
  <w:footnote w:id="14">
    <w:p>
      <w:pPr>
        <w:pStyle w:val="5"/>
        <w:rPr>
          <w:sz w:val="20"/>
          <w:szCs w:val="20"/>
          <w:lang w:val="de-CH"/>
        </w:rPr>
      </w:pPr>
      <w:r>
        <w:rPr>
          <w:rStyle w:val="4"/>
        </w:rPr>
        <w:footnoteRef/>
      </w:r>
      <w:r>
        <w:t xml:space="preserve"> </w:t>
      </w:r>
      <w:r>
        <w:rPr>
          <w:sz w:val="20"/>
          <w:szCs w:val="20"/>
          <w:lang w:val="de-CH"/>
        </w:rPr>
        <w:t xml:space="preserve">Platon traute weder Volksvertretern noch autokratischen Herrschern zu, dass sie den Saat richtig führten: Seine ideale Vorstellung war die vom Philosophen, vom klügsten und weisesten Menschen, an der Spitze des Staates; späterer Tradition galt der alttestamentliche König Salomo als exemplarische Verkörperung des Weisen auf dem Thron; als Philosoph bekannt war auch der spätere römische Kaiser Mark Aurél (Kaiser 161-180 n. Chr.). </w:t>
      </w:r>
    </w:p>
  </w:footnote>
  <w:footnote w:id="15">
    <w:p>
      <w:pPr>
        <w:pStyle w:val="5"/>
        <w:rPr>
          <w:sz w:val="20"/>
          <w:szCs w:val="20"/>
          <w:lang w:val="de-CH"/>
        </w:rPr>
      </w:pPr>
      <w:r>
        <w:rPr>
          <w:rStyle w:val="4"/>
        </w:rPr>
        <w:footnoteRef/>
      </w:r>
      <w:r>
        <w:t xml:space="preserve"> </w:t>
      </w:r>
      <w:r>
        <w:rPr>
          <w:sz w:val="20"/>
          <w:szCs w:val="20"/>
        </w:rPr>
        <w:t xml:space="preserve">Während Platon die meiste Zeit seines Lebens in Athen verbrachte (und dort eine eigene philosophische Schule gründete, die er Akademie nannte), verbrachte Aristoteles viele Jahre seines Lebens auf Wanderschaft; u.a. lebte er einige Jahre am Hof König Philips von Makedonien und war dort für die Erziehung von dessen Sohn zuständig, der später als Alexander der Grosse die halbe Welt unterworfen und die griechische Kultur bis nach Nordafrika und Persien gebracht hat. </w:t>
      </w:r>
    </w:p>
  </w:footnote>
  <w:footnote w:id="16">
    <w:p>
      <w:pPr>
        <w:pStyle w:val="5"/>
        <w:rPr>
          <w:sz w:val="20"/>
          <w:szCs w:val="20"/>
          <w:lang w:val="de-CH"/>
        </w:rPr>
      </w:pPr>
      <w:r>
        <w:rPr>
          <w:rStyle w:val="4"/>
        </w:rPr>
        <w:footnoteRef/>
      </w:r>
      <w:r>
        <w:t xml:space="preserve"> </w:t>
      </w:r>
      <w:r>
        <w:rPr>
          <w:sz w:val="20"/>
          <w:szCs w:val="20"/>
          <w:lang w:val="de-CH"/>
        </w:rPr>
        <w:t xml:space="preserve">Der philosophische Dialog nach dem Vorbild Platons blieb aber über die ganze Antike eine bedeutende Form des Philosophierens: Im 6. Jh. n. Chr. verfasste etwa der römische Staatsmann Boéthius (475-524 n. Chr.) eine berühmte Schrift über den </w:t>
      </w:r>
      <w:r>
        <w:rPr>
          <w:i/>
          <w:sz w:val="20"/>
          <w:szCs w:val="20"/>
          <w:lang w:val="de-CH"/>
        </w:rPr>
        <w:t xml:space="preserve">Trost der Philosophie </w:t>
      </w:r>
      <w:r>
        <w:rPr>
          <w:sz w:val="20"/>
          <w:szCs w:val="20"/>
          <w:lang w:val="de-CH"/>
        </w:rPr>
        <w:t>(</w:t>
      </w:r>
      <w:r>
        <w:rPr>
          <w:i/>
          <w:sz w:val="20"/>
          <w:szCs w:val="20"/>
          <w:lang w:val="de-CH"/>
        </w:rPr>
        <w:t>De consolati</w:t>
      </w:r>
      <w:r>
        <w:rPr>
          <w:rFonts w:ascii="Cambria" w:hAnsi="Cambria"/>
          <w:i/>
          <w:sz w:val="20"/>
          <w:szCs w:val="20"/>
          <w:lang w:val="de-CH"/>
        </w:rPr>
        <w:t>ó</w:t>
      </w:r>
      <w:r>
        <w:rPr>
          <w:i/>
          <w:sz w:val="20"/>
          <w:szCs w:val="20"/>
          <w:lang w:val="de-CH"/>
        </w:rPr>
        <w:t>ne philos</w:t>
      </w:r>
      <w:r>
        <w:rPr>
          <w:rFonts w:ascii="Cambria" w:hAnsi="Cambria"/>
          <w:i/>
          <w:sz w:val="20"/>
          <w:szCs w:val="20"/>
          <w:lang w:val="de-CH"/>
        </w:rPr>
        <w:t>ó</w:t>
      </w:r>
      <w:r>
        <w:rPr>
          <w:i/>
          <w:sz w:val="20"/>
          <w:szCs w:val="20"/>
          <w:lang w:val="de-CH"/>
        </w:rPr>
        <w:t>phiae</w:t>
      </w:r>
      <w:r>
        <w:rPr>
          <w:sz w:val="20"/>
          <w:szCs w:val="20"/>
          <w:lang w:val="de-CH"/>
        </w:rPr>
        <w:t>); Boethius war als Kanzler, Regierungschef, des Ostgotenkönigs The</w:t>
      </w:r>
      <w:r>
        <w:rPr>
          <w:rFonts w:ascii="Cambria" w:hAnsi="Cambria"/>
          <w:sz w:val="20"/>
          <w:szCs w:val="20"/>
          <w:lang w:val="de-CH"/>
        </w:rPr>
        <w:t>ó</w:t>
      </w:r>
      <w:r>
        <w:rPr>
          <w:sz w:val="20"/>
          <w:szCs w:val="20"/>
          <w:lang w:val="de-CH"/>
        </w:rPr>
        <w:t xml:space="preserve">derich in Ungnade gefallen (er war verdächtigt worden, gegen die ostgotische Herrschaft und für die römische Freiheit konspiriert zu haben) und wurde ins Gefängnis geworfen und zum Tode verurteilt; im Gefängnis schrieb er dieses Buch, um sich in einem fingierten Dialog mit der personifizierten Philosophie über sein baldiges Lebensende hinwegzutrösten – Philosophie nicht als Lebenshilfe, sondern, im buchstäblichen Sinn, als Hilfe zum Sterben.   </w:t>
      </w:r>
    </w:p>
  </w:footnote>
  <w:footnote w:id="17">
    <w:p>
      <w:pPr>
        <w:pStyle w:val="5"/>
        <w:rPr>
          <w:sz w:val="20"/>
          <w:szCs w:val="20"/>
          <w:lang w:val="de-CH"/>
        </w:rPr>
      </w:pPr>
      <w:r>
        <w:rPr>
          <w:rStyle w:val="4"/>
        </w:rPr>
        <w:footnoteRef/>
      </w:r>
      <w:r>
        <w:t xml:space="preserve"> </w:t>
      </w:r>
      <w:r>
        <w:rPr>
          <w:sz w:val="20"/>
          <w:szCs w:val="20"/>
          <w:lang w:val="de-CH"/>
        </w:rPr>
        <w:t xml:space="preserve">Aus Aristoteles’ Staatstheorie, der sogenannten </w:t>
      </w:r>
      <w:r>
        <w:rPr>
          <w:i/>
          <w:sz w:val="20"/>
          <w:szCs w:val="20"/>
          <w:lang w:val="de-CH"/>
        </w:rPr>
        <w:t>Politik</w:t>
      </w:r>
      <w:r>
        <w:rPr>
          <w:sz w:val="20"/>
          <w:szCs w:val="20"/>
          <w:lang w:val="de-CH"/>
        </w:rPr>
        <w:t xml:space="preserve">, stammt die berühmte und sehr wirkungsmächtige Bestimmung des Menschen als </w:t>
      </w:r>
      <w:r>
        <w:rPr>
          <w:i/>
          <w:sz w:val="20"/>
          <w:szCs w:val="20"/>
          <w:lang w:val="de-CH"/>
        </w:rPr>
        <w:t>z</w:t>
      </w:r>
      <w:r>
        <w:rPr>
          <w:rFonts w:ascii="Cambria" w:hAnsi="Cambria"/>
          <w:i/>
          <w:sz w:val="20"/>
          <w:szCs w:val="20"/>
          <w:lang w:val="de-CH"/>
        </w:rPr>
        <w:t>ó</w:t>
      </w:r>
      <w:r>
        <w:rPr>
          <w:i/>
          <w:sz w:val="20"/>
          <w:szCs w:val="20"/>
          <w:lang w:val="de-CH"/>
        </w:rPr>
        <w:t>on politik</w:t>
      </w:r>
      <w:r>
        <w:rPr>
          <w:rFonts w:ascii="Cambria" w:hAnsi="Cambria"/>
          <w:i/>
          <w:sz w:val="20"/>
          <w:szCs w:val="20"/>
          <w:lang w:val="de-CH"/>
        </w:rPr>
        <w:t>ó</w:t>
      </w:r>
      <w:r>
        <w:rPr>
          <w:i/>
          <w:sz w:val="20"/>
          <w:szCs w:val="20"/>
          <w:lang w:val="de-CH"/>
        </w:rPr>
        <w:t>n</w:t>
      </w:r>
      <w:r>
        <w:rPr>
          <w:sz w:val="20"/>
          <w:szCs w:val="20"/>
          <w:lang w:val="de-CH"/>
        </w:rPr>
        <w:t xml:space="preserve">, als Wesen, das Gemeinschaft nötig hat. </w:t>
      </w:r>
    </w:p>
  </w:footnote>
  <w:footnote w:id="18">
    <w:p>
      <w:pPr>
        <w:pStyle w:val="5"/>
        <w:rPr>
          <w:sz w:val="20"/>
          <w:szCs w:val="20"/>
          <w:lang w:val="de-CH"/>
        </w:rPr>
      </w:pPr>
      <w:r>
        <w:rPr>
          <w:rStyle w:val="4"/>
        </w:rPr>
        <w:footnoteRef/>
      </w:r>
      <w:r>
        <w:t xml:space="preserve"> </w:t>
      </w:r>
      <w:r>
        <w:rPr>
          <w:sz w:val="20"/>
          <w:szCs w:val="20"/>
          <w:lang w:val="de-CH"/>
        </w:rPr>
        <w:t xml:space="preserve">Auch um Diogenes, der angeblich in einer Tonne gelebt haben soll, ranken sich einige Legenden: Die wahrscheinlich berühmteste lässt ihn mit Alexander dem Grossen, dem mächtigsten Mann der Welt, zusammentreffen, der Diogenes einen Wunsch anbietet, den er sofort zu erfüllen gedachte; Diogenes soll ihm geantwortet haben: „Geh mir aus der Sonne“. </w:t>
      </w:r>
    </w:p>
  </w:footnote>
  <w:footnote w:id="19">
    <w:p>
      <w:pPr>
        <w:pStyle w:val="5"/>
        <w:rPr>
          <w:sz w:val="20"/>
          <w:szCs w:val="20"/>
          <w:lang w:val="de-CH"/>
        </w:rPr>
      </w:pPr>
      <w:r>
        <w:rPr>
          <w:rStyle w:val="4"/>
        </w:rPr>
        <w:footnoteRef/>
      </w:r>
      <w:r>
        <w:t xml:space="preserve"> </w:t>
      </w:r>
      <w:r>
        <w:rPr>
          <w:sz w:val="20"/>
          <w:szCs w:val="20"/>
          <w:lang w:val="de-CH"/>
        </w:rPr>
        <w:t xml:space="preserve">Zwar sind aus Epikurs (wie man weiss: sehr umfangreichen) Werk nur sehr spärliche Fragmente überliefert (was möglicherweise damit zu tun hat, dass er und seine Schule im zeitgenössischen Griechenland nicht populär waren), aber es existiert aus römischer Zeit eine recht umfangreiche Dichtung, die eine Darstellung der Welt aus atomistischer und epikureischer Sicht gibt: das Lehrepos </w:t>
      </w:r>
      <w:r>
        <w:rPr>
          <w:i/>
          <w:sz w:val="20"/>
          <w:szCs w:val="20"/>
          <w:lang w:val="de-CH"/>
        </w:rPr>
        <w:t>Vom Wesen der Dinge</w:t>
      </w:r>
      <w:r>
        <w:rPr>
          <w:sz w:val="20"/>
          <w:szCs w:val="20"/>
          <w:lang w:val="de-CH"/>
        </w:rPr>
        <w:t xml:space="preserve"> (</w:t>
      </w:r>
      <w:r>
        <w:rPr>
          <w:i/>
          <w:sz w:val="20"/>
          <w:szCs w:val="20"/>
          <w:lang w:val="de-CH"/>
        </w:rPr>
        <w:t>De rerum natura</w:t>
      </w:r>
      <w:r>
        <w:rPr>
          <w:sz w:val="20"/>
          <w:szCs w:val="20"/>
          <w:lang w:val="de-CH"/>
        </w:rPr>
        <w:t xml:space="preserve"> – dt. auch unter dem Titel: </w:t>
      </w:r>
      <w:r>
        <w:rPr>
          <w:i/>
          <w:sz w:val="20"/>
          <w:szCs w:val="20"/>
          <w:lang w:val="de-CH"/>
        </w:rPr>
        <w:t>Welt aus Atomen</w:t>
      </w:r>
      <w:r>
        <w:rPr>
          <w:sz w:val="20"/>
          <w:szCs w:val="20"/>
          <w:lang w:val="de-CH"/>
        </w:rPr>
        <w:t xml:space="preserve">) des römischen Dichters Lukréz (94-55 v. Chr.), aus dem zentrale Aspekte der Lehre dieser Schule herausgelesen werden können.  </w:t>
      </w:r>
    </w:p>
  </w:footnote>
  <w:footnote w:id="20">
    <w:p>
      <w:pPr>
        <w:pStyle w:val="5"/>
        <w:rPr>
          <w:sz w:val="20"/>
          <w:szCs w:val="20"/>
          <w:lang w:val="de-CH"/>
        </w:rPr>
      </w:pPr>
      <w:r>
        <w:rPr>
          <w:rStyle w:val="4"/>
        </w:rPr>
        <w:footnoteRef/>
      </w:r>
      <w:r>
        <w:t xml:space="preserve"> </w:t>
      </w:r>
      <w:r>
        <w:rPr>
          <w:sz w:val="20"/>
          <w:szCs w:val="20"/>
          <w:lang w:val="de-CH"/>
        </w:rPr>
        <w:t>Seneca führte im Rom der beginnenden Kaiserzeit ein sehr bewegtes Leben (fast möchte man sagen: Die Gemütsruhe, die er als ethisches Ziel vertrat, war ihm bitter nötig): Unter Kaiser Cal</w:t>
      </w:r>
      <w:r>
        <w:rPr>
          <w:rFonts w:ascii="Cambria" w:hAnsi="Cambria"/>
          <w:sz w:val="20"/>
          <w:szCs w:val="20"/>
          <w:lang w:val="de-CH"/>
        </w:rPr>
        <w:t>í</w:t>
      </w:r>
      <w:r>
        <w:rPr>
          <w:sz w:val="20"/>
          <w:szCs w:val="20"/>
          <w:lang w:val="de-CH"/>
        </w:rPr>
        <w:t>gula begann er schon in jungen Jahren eine politische Laufbahn, wurde dann aber unter Claudius nach Korsika verbannt und von Claudius’ letzter Ehefrau Agripp</w:t>
      </w:r>
      <w:r>
        <w:rPr>
          <w:rFonts w:ascii="Cambria" w:hAnsi="Cambria"/>
          <w:sz w:val="20"/>
          <w:szCs w:val="20"/>
          <w:lang w:val="de-CH"/>
        </w:rPr>
        <w:t>í</w:t>
      </w:r>
      <w:r>
        <w:rPr>
          <w:sz w:val="20"/>
          <w:szCs w:val="20"/>
          <w:lang w:val="de-CH"/>
        </w:rPr>
        <w:t xml:space="preserve">na wieder zurückgeholt und als Erzieher ihres Sohnes Nero eingesetzt; als Nero Kaiser geworden war (Nero hat den zweifelhaften Ruf, als erster eine systematische Christenverfolgung angezettelt zu haben), entfremdete sich Seneca zusehends von ihm, was schliesslich darin endete, dass er der Teilnahme an einer Verschwörung gegen den Kaiser verdächtigt und zum Selbstmord gezwungen wurde.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C00F52"/>
    <w:multiLevelType w:val="multilevel"/>
    <w:tmpl w:val="66C00F5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42"/>
    <w:footnote w:id="43"/>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DAE"/>
    <w:rsid w:val="00117F98"/>
    <w:rsid w:val="00272B90"/>
    <w:rsid w:val="005F1C54"/>
    <w:rsid w:val="00632C3B"/>
    <w:rsid w:val="006D430B"/>
    <w:rsid w:val="00790990"/>
    <w:rsid w:val="00822BE7"/>
    <w:rsid w:val="00A27DAE"/>
    <w:rsid w:val="00AA65B1"/>
    <w:rsid w:val="00AD3AB3"/>
    <w:rsid w:val="00B776C8"/>
    <w:rsid w:val="00D9736A"/>
    <w:rsid w:val="00F4071F"/>
    <w:rsid w:val="EAFB7DF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heme="minorHAnsi" w:hAnsiTheme="minorHAnsi" w:eastAsiaTheme="minorEastAsia" w:cstheme="minorBidi"/>
      <w:sz w:val="24"/>
      <w:szCs w:val="24"/>
      <w:lang w:val="de-DE" w:eastAsia="de-DE"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footnote reference"/>
    <w:basedOn w:val="2"/>
    <w:semiHidden/>
    <w:unhideWhenUsed/>
    <w:qFormat/>
    <w:uiPriority w:val="99"/>
    <w:rPr>
      <w:vertAlign w:val="superscript"/>
    </w:rPr>
  </w:style>
  <w:style w:type="paragraph" w:styleId="5">
    <w:name w:val="footnote text"/>
    <w:basedOn w:val="1"/>
    <w:link w:val="6"/>
    <w:semiHidden/>
    <w:unhideWhenUsed/>
    <w:qFormat/>
    <w:uiPriority w:val="99"/>
  </w:style>
  <w:style w:type="character" w:customStyle="1" w:styleId="6">
    <w:name w:val="Footnote Text Char"/>
    <w:basedOn w:val="2"/>
    <w:link w:val="5"/>
    <w:semiHidden/>
    <w:qFormat/>
    <w:uiPriority w:val="99"/>
    <w:rPr>
      <w:rFonts w:eastAsiaTheme="minorEastAsia"/>
      <w:sz w:val="24"/>
      <w:szCs w:val="24"/>
      <w:lang w:val="de-DE" w:eastAsia="de-D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2811</Words>
  <Characters>16027</Characters>
  <Lines>133</Lines>
  <Paragraphs>37</Paragraphs>
  <TotalTime>0</TotalTime>
  <ScaleCrop>false</ScaleCrop>
  <LinksUpToDate>false</LinksUpToDate>
  <CharactersWithSpaces>18801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2021-11-01T18:35:00Z</dcterms:created>
  <dc:creator>Jan Erik Antonsen</dc:creator>
  <cp:lastModifiedBy>adkoprek</cp:lastModifiedBy>
  <dcterms:modified xsi:type="dcterms:W3CDTF">2025-09-19T08:58:19Z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0x0101007916E99F33BDF94EB4221FA20C8EAD66</vt:lpwstr>
  </property>
  <property fmtid="{D5CDD505-2E9C-101B-9397-08002B2CF9AE}" pid="3" name="KSOProductBuildVer">
    <vt:lpwstr>1033-11.1.0.11723</vt:lpwstr>
  </property>
</Properties>
</file>