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ind w:left="9780" w:leftChars="0" w:firstLine="0" w:firstLineChars="0"/>
      </w:pPr>
      <w:r>
        <mc:AlternateContent>
          <mc:Choice Requires="wps">
            <w:drawing>
              <wp:anchor distT="0" distB="0" distL="114300" distR="114300" simplePos="0" relativeHeight="251661312" behindDoc="0" locked="0" layoutInCell="1" allowOverlap="1">
                <wp:simplePos x="0" y="0"/>
                <wp:positionH relativeFrom="column">
                  <wp:posOffset>3435350</wp:posOffset>
                </wp:positionH>
                <wp:positionV relativeFrom="paragraph">
                  <wp:posOffset>-69850</wp:posOffset>
                </wp:positionV>
                <wp:extent cx="3049270" cy="1403985"/>
                <wp:effectExtent l="0" t="0" r="17780" b="18415"/>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3049270" cy="1403985"/>
                        </a:xfrm>
                        <a:prstGeom prst="rect">
                          <a:avLst/>
                        </a:prstGeom>
                        <a:solidFill>
                          <a:srgbClr val="FFFFFF"/>
                        </a:solidFill>
                        <a:ln w="9525">
                          <a:solidFill>
                            <a:srgbClr val="000000"/>
                          </a:solidFill>
                          <a:miter lim="800000"/>
                        </a:ln>
                      </wps:spPr>
                      <wps:txbx>
                        <w:txbxContent>
                          <w:p>
                            <w:pPr>
                              <w:pStyle w:val="28"/>
                            </w:pPr>
                            <w:r>
                              <w:t>Lernziele</w:t>
                            </w:r>
                          </w:p>
                          <w:p>
                            <w:pPr>
                              <w:pStyle w:val="32"/>
                            </w:pPr>
                            <w:r>
                              <w:t>Beschreiben Sie den Aufbau einer unverholzten Pflanze mit Funktionen der Wurzel, Sprossachse, Blätter, Blüte und Frucht</w:t>
                            </w:r>
                          </w:p>
                          <w:p>
                            <w:pPr>
                              <w:pStyle w:val="32"/>
                            </w:pPr>
                            <w:r>
                              <w:t xml:space="preserve">Skizzieren Sie einen Baumquerschnitt skizzieren mit Funktionen von Borke, Bast (Phloem), Kambium, Splintholz (Xylem) und Kernholz </w:t>
                            </w:r>
                          </w:p>
                          <w:p>
                            <w:pPr>
                              <w:pStyle w:val="32"/>
                            </w:pPr>
                            <w:r>
                              <w:t>Erklären Sie, wie Jahresringe bei Bäumen entstehen</w:t>
                            </w:r>
                          </w:p>
                          <w:p>
                            <w:pPr>
                              <w:pStyle w:val="32"/>
                            </w:pPr>
                            <w:r>
                              <w:t xml:space="preserve">Unterscheiden Sie Beeren, Steinfrüchte, Nüsse sowie Scheinfrüchte und Sammelfrüchte anhand des botanischen Aufbaus und mit Beispielen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feld 2" o:spid="_x0000_s1026" o:spt="202" type="#_x0000_t202" style="position:absolute;left:0pt;margin-left:270.5pt;margin-top:-5.5pt;height:110.55pt;width:240.1pt;mso-wrap-distance-bottom:0pt;mso-wrap-distance-left:9pt;mso-wrap-distance-right:9pt;mso-wrap-distance-top:0pt;z-index:251661312;mso-width-relative:page;mso-height-relative:margin;mso-height-percent:200;" fillcolor="#FFFFFF" filled="t" stroked="t" coordsize="21600,21600" o:gfxdata="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">
                <v:fill on="t" focussize="0,0"/>
                <v:stroke color="#000000" miterlimit="8" joinstyle="miter"/>
                <v:imagedata o:title=""/>
                <o:lock v:ext="edit" aspectratio="f"/>
                <v:textbox style="mso-fit-shape-to-text:t;">
                  <w:txbxContent>
                    <w:p>
                      <w:pPr>
                        <w:pStyle w:val="28"/>
                      </w:pPr>
                      <w:r>
                        <w:t>Lernziele</w:t>
                      </w:r>
                    </w:p>
                    <w:p>
                      <w:pPr>
                        <w:pStyle w:val="32"/>
                      </w:pPr>
                      <w:r>
                        <w:t>Beschreiben Sie den Aufbau einer unverholzten Pflanze mit Funktionen der Wurzel, Sprossachse, Blätter, Blüte und Frucht</w:t>
                      </w:r>
                    </w:p>
                    <w:p>
                      <w:pPr>
                        <w:pStyle w:val="32"/>
                      </w:pPr>
                      <w:r>
                        <w:t xml:space="preserve">Skizzieren Sie einen Baumquerschnitt skizzieren mit Funktionen von Borke, Bast (Phloem), Kambium, Splintholz (Xylem) und Kernholz </w:t>
                      </w:r>
                    </w:p>
                    <w:p>
                      <w:pPr>
                        <w:pStyle w:val="32"/>
                      </w:pPr>
                      <w:r>
                        <w:t>Erklären Sie, wie Jahresringe bei Bäumen entstehen</w:t>
                      </w:r>
                    </w:p>
                    <w:p>
                      <w:pPr>
                        <w:pStyle w:val="32"/>
                      </w:pPr>
                      <w:r>
                        <w:t xml:space="preserve">Unterscheiden Sie Beeren, Steinfrüchte, Nüsse sowie Scheinfrüchte und Sammelfrüchte anhand des botanischen Aufbaus und mit Beispielen </w:t>
                      </w:r>
                    </w:p>
                  </w:txbxContent>
                </v:textbox>
                <w10:wrap type="square"/>
              </v:shape>
            </w:pict>
          </mc:Fallback>
        </mc:AlternateContent>
      </w:r>
      <w:r>
        <w:t>Früchte und Holz</w:t>
      </w:r>
    </w:p>
    <w:p>
      <w:pPr>
        <w:rPr>
          <w:lang w:eastAsia="de-CH"/>
        </w:rPr>
      </w:pPr>
    </w:p>
    <w:p>
      <w:pPr>
        <w:rPr>
          <w:lang w:eastAsia="de-CH"/>
        </w:rPr>
      </w:pPr>
    </w:p>
    <w:p>
      <w:pPr>
        <w:rPr>
          <w:lang w:eastAsia="de-CH"/>
        </w:rPr>
      </w:pPr>
    </w:p>
    <w:p>
      <w:pPr>
        <w:pStyle w:val="2"/>
      </w:pPr>
      <w:r>
        <w:t>Aufbau einer Blütenpflanze</w:t>
      </w:r>
    </w:p>
    <w:p>
      <w:pPr>
        <w:pStyle w:val="3"/>
      </w:pPr>
      <w:r>
        <w:drawing>
          <wp:inline distT="0" distB="0" distL="0" distR="0">
            <wp:extent cx="4615815" cy="3381375"/>
            <wp:effectExtent l="0" t="0" r="0" b="9525"/>
            <wp:docPr id="6" name="Grafik 6" descr="Pflanzenkoerper (Sad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Pflanzenkoerper (Sadava)"/>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18029" cy="3383245"/>
                    </a:xfrm>
                    <a:prstGeom prst="rect">
                      <a:avLst/>
                    </a:prstGeom>
                    <a:noFill/>
                  </pic:spPr>
                </pic:pic>
              </a:graphicData>
            </a:graphic>
          </wp:inline>
        </w:drawing>
      </w:r>
    </w:p>
    <w:p>
      <w:pPr>
        <w:pStyle w:val="3"/>
      </w:pPr>
    </w:p>
    <w:p>
      <w:pPr>
        <w:pStyle w:val="3"/>
      </w:pPr>
      <w:r>
        <w:t>Hauptfunktionen der wichtigsten Pflanzenteile</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97"/>
        <w:gridCol w:w="50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097" w:type="dxa"/>
          </w:tcPr>
          <w:p>
            <w:pPr>
              <w:spacing w:after="0" w:line="240" w:lineRule="auto"/>
              <w:rPr>
                <w:rFonts w:hint="default"/>
                <w:lang w:val="en-US"/>
              </w:rPr>
            </w:pPr>
            <w:r>
              <w:t>Wurzel:</w:t>
            </w:r>
            <w:r>
              <w:rPr>
                <w:rFonts w:hint="default"/>
                <w:lang w:val="en-US"/>
              </w:rPr>
              <w:t xml:space="preserve"> Verakerung, Wassertransport, Nährstoffe</w:t>
            </w:r>
          </w:p>
          <w:p>
            <w:pPr>
              <w:spacing w:after="0" w:line="240" w:lineRule="auto"/>
            </w:pPr>
          </w:p>
          <w:p>
            <w:pPr>
              <w:spacing w:after="0" w:line="240" w:lineRule="auto"/>
              <w:rPr>
                <w:rFonts w:hint="default"/>
                <w:lang w:val="en-US"/>
              </w:rPr>
            </w:pPr>
            <w:r>
              <w:t>Sprossachse:</w:t>
            </w:r>
            <w:r>
              <w:rPr>
                <w:rFonts w:hint="default"/>
                <w:lang w:val="en-US"/>
              </w:rPr>
              <w:t xml:space="preserve"> Haltet die Pflanze aufwärts</w:t>
            </w:r>
          </w:p>
          <w:p>
            <w:pPr>
              <w:spacing w:after="0" w:line="240" w:lineRule="auto"/>
            </w:pPr>
          </w:p>
          <w:p>
            <w:pPr>
              <w:spacing w:after="0" w:line="240" w:lineRule="auto"/>
              <w:rPr>
                <w:rFonts w:hint="default"/>
                <w:lang w:val="en-US"/>
              </w:rPr>
            </w:pPr>
            <w:r>
              <w:t>Blätter:</w:t>
            </w:r>
            <w:r>
              <w:rPr>
                <w:rFonts w:hint="default"/>
                <w:lang w:val="en-US"/>
              </w:rPr>
              <w:t xml:space="preserve"> Photsysntese</w:t>
            </w:r>
          </w:p>
        </w:tc>
        <w:tc>
          <w:tcPr>
            <w:tcW w:w="5097" w:type="dxa"/>
          </w:tcPr>
          <w:p>
            <w:pPr>
              <w:spacing w:after="0" w:line="240" w:lineRule="auto"/>
              <w:rPr>
                <w:rFonts w:hint="default"/>
                <w:lang w:val="en-US"/>
              </w:rPr>
            </w:pPr>
            <w:r>
              <w:t>Blüte:</w:t>
            </w:r>
            <w:r>
              <w:rPr>
                <w:rFonts w:hint="default"/>
                <w:lang w:val="en-US"/>
              </w:rPr>
              <w:t xml:space="preserve"> Verbreitung von Keimzellen</w:t>
            </w:r>
          </w:p>
          <w:p>
            <w:pPr>
              <w:spacing w:after="0" w:line="240" w:lineRule="auto"/>
            </w:pPr>
          </w:p>
          <w:p>
            <w:pPr>
              <w:spacing w:after="0" w:line="240" w:lineRule="auto"/>
              <w:rPr>
                <w:rFonts w:hint="default"/>
                <w:lang w:val="en-US"/>
              </w:rPr>
            </w:pPr>
            <w:r>
              <w:t>Frucht</w:t>
            </w:r>
            <w:r>
              <w:rPr>
                <w:rFonts w:hint="default"/>
                <w:lang w:val="en-US"/>
              </w:rPr>
              <w:t>: Verbreitung von befruchteten Zellen</w:t>
            </w:r>
          </w:p>
          <w:p>
            <w:pPr>
              <w:spacing w:after="0" w:line="240" w:lineRule="auto"/>
            </w:pPr>
          </w:p>
          <w:p>
            <w:pPr>
              <w:spacing w:after="0" w:line="240" w:lineRule="auto"/>
            </w:pPr>
          </w:p>
        </w:tc>
      </w:tr>
    </w:tbl>
    <w:p/>
    <w:p>
      <w:pPr>
        <w:rPr>
          <w:rFonts w:eastAsiaTheme="majorEastAsia" w:cstheme="minorHAnsi"/>
          <w:bCs/>
          <w:color w:val="E46C0A" w:themeColor="accent6" w:themeShade="BF"/>
          <w:sz w:val="40"/>
          <w:szCs w:val="40"/>
          <w:lang w:eastAsia="de-CH"/>
        </w:rPr>
      </w:pPr>
      <w:r>
        <w:br w:type="page"/>
      </w:r>
    </w:p>
    <w:p>
      <w:pPr>
        <w:pStyle w:val="2"/>
      </w:pPr>
      <w:r>
        <w:t>Sekundäre Pflanzenstoffe</w:t>
      </w:r>
    </w:p>
    <w:p>
      <w:r>
        <w:rPr>
          <w:rStyle w:val="40"/>
          <w:lang w:val="de-CH"/>
        </w:rPr>
        <w:t>Primäre Pflanzenstoffe</w:t>
      </w:r>
      <w:r>
        <w:t xml:space="preserve"> sind Moleküle, welche für die auf- oder abbauenden Stoffwechselwege sowie die Energiestoffwechselwege benötigt werden. Die wichtigsten Energiestoffwechselwege bei Pflanzen sind Fotosynthese und Zellatmung. Primäre Pflanzenstoffe sind lebensnotwenig für die Pflanze und wir finden sie in allen Pflanzenzellen.</w:t>
      </w:r>
    </w:p>
    <w:p>
      <w:r>
        <w:rPr>
          <w:rStyle w:val="40"/>
          <w:lang w:val="de-CH"/>
        </w:rPr>
        <w:t>Sekundäre Pflanzenstoffe</w:t>
      </w:r>
      <w:r>
        <w:t xml:space="preserve"> hingegen werden nur in einigen Zelltypen produziert. Obwohl etliche von ihnen für die Pflanze sehr nützlich sind (z.B. als Frassschutz oder zur Anlockung von Insekten), sind sie nicht lebensnotwendig. Es gibt Tausende von sekundären Pflanzenstoffen, von denen viele in der Pharmakologie und als Lebensmittelinhaltsstoffe bedeutsam sind.</w:t>
      </w:r>
    </w:p>
    <w:p>
      <w:pPr>
        <w:pStyle w:val="2"/>
      </w:pPr>
      <w:r>
        <w:t>Holz und Jahresringe</w:t>
      </w:r>
    </w:p>
    <w:p>
      <w:r>
        <w:t xml:space="preserve">Holz ist </w:t>
      </w:r>
      <w:r>
        <w:rPr>
          <w:rStyle w:val="40"/>
          <w:lang w:val="de-CH"/>
        </w:rPr>
        <w:t>Xylem</w:t>
      </w:r>
      <w:r>
        <w:t xml:space="preserve">, welches durch Einlagerungen in den Zellwänden sehr hart geworden ist. Im </w:t>
      </w:r>
      <w:r>
        <w:rPr>
          <w:rStyle w:val="40"/>
          <w:lang w:val="de-CH"/>
        </w:rPr>
        <w:t>Splintholz</w:t>
      </w:r>
      <w:r>
        <w:t xml:space="preserve"> wird Wasser nach oben transportiert, im älteren Kernholz sind die Zellen abgestorben und mit Lignin (Holzstoff) aufgefüllt. </w:t>
      </w:r>
    </w:p>
    <w:p>
      <w:r>
        <w:t xml:space="preserve">Den umgekehrten Transportweg (also von oben nach unten) finden wir im </w:t>
      </w:r>
      <w:r>
        <w:rPr>
          <w:rStyle w:val="40"/>
          <w:lang w:val="de-CH"/>
        </w:rPr>
        <w:t>Bast</w:t>
      </w:r>
      <w:r>
        <w:t xml:space="preserve">, er entspricht dem </w:t>
      </w:r>
      <w:r>
        <w:rPr>
          <w:rStyle w:val="40"/>
          <w:lang w:val="de-CH"/>
        </w:rPr>
        <w:t>Phloem</w:t>
      </w:r>
      <w:r>
        <w:t xml:space="preserve">. </w:t>
      </w:r>
    </w:p>
    <w:p>
      <w:pPr>
        <w:jc w:val="center"/>
      </w:pPr>
      <w:r>
        <w:drawing>
          <wp:inline distT="0" distB="0" distL="0" distR="0">
            <wp:extent cx="4742180" cy="3039745"/>
            <wp:effectExtent l="0" t="0" r="1270" b="8255"/>
            <wp:docPr id="1513753528" name="Grafik 1" descr="Ein Bild, das Screenshot, Entwurf,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53528" name="Grafik 1" descr="Ein Bild, das Screenshot, Entwurf, Text, Design enthält.&#10;&#10;Automatisch generierte Beschreibu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57126" cy="3049253"/>
                    </a:xfrm>
                    <a:prstGeom prst="rect">
                      <a:avLst/>
                    </a:prstGeom>
                    <a:noFill/>
                    <a:ln>
                      <a:noFill/>
                    </a:ln>
                  </pic:spPr>
                </pic:pic>
              </a:graphicData>
            </a:graphic>
          </wp:inline>
        </w:drawing>
      </w:r>
    </w:p>
    <w:p>
      <w:pPr>
        <w:pStyle w:val="41"/>
        <w:rPr>
          <w:lang w:val="de-CH"/>
        </w:rPr>
      </w:pPr>
      <w:r>
        <w:rPr>
          <w:lang w:val="de-CH"/>
        </w:rPr>
        <w:t>Lesen Sie im Buchtext auf der nächsten Seite, wie Jahresringe entstehen. Nehmen Sie einen Baumquerschnitt und suchen Sie die oben abgebildeten Schichten. Notieren Sie sich die Erklärung für Jahresringe.</w:t>
      </w:r>
    </w:p>
    <w:p>
      <w:pPr>
        <w:rPr>
          <w:b/>
          <w:color w:val="00B050"/>
        </w:rPr>
      </w:pPr>
      <w:r>
        <w:br w:type="page"/>
      </w:r>
    </w:p>
    <w:p>
      <w:pPr>
        <w:pStyle w:val="41"/>
        <w:rPr>
          <w:lang w:val="de-CH"/>
        </w:rPr>
      </w:pPr>
      <w:r>
        <w:rPr>
          <w:lang w:val="de-CH"/>
        </w:rPr>
        <w:drawing>
          <wp:inline distT="0" distB="0" distL="0" distR="0">
            <wp:extent cx="6470650" cy="8407400"/>
            <wp:effectExtent l="0" t="0" r="6350" b="0"/>
            <wp:docPr id="1860093451" name="Grafik 186009345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93451" name="Grafik 1860093451" descr="Ein Bild, das Text, Screenshot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70650" cy="8407400"/>
                    </a:xfrm>
                    <a:prstGeom prst="rect">
                      <a:avLst/>
                    </a:prstGeom>
                    <a:noFill/>
                    <a:ln>
                      <a:noFill/>
                    </a:ln>
                  </pic:spPr>
                </pic:pic>
              </a:graphicData>
            </a:graphic>
          </wp:inline>
        </w:drawing>
      </w:r>
    </w:p>
    <w:p>
      <w:pPr>
        <w:pStyle w:val="41"/>
        <w:rPr>
          <w:lang w:val="de-CH"/>
        </w:rPr>
      </w:pPr>
    </w:p>
    <w:p>
      <w:pPr>
        <w:rPr>
          <w:rFonts w:eastAsiaTheme="majorEastAsia" w:cstheme="minorHAnsi"/>
          <w:bCs/>
          <w:color w:val="E46C0A" w:themeColor="accent6" w:themeShade="BF"/>
          <w:sz w:val="40"/>
          <w:szCs w:val="40"/>
          <w:lang w:eastAsia="de-CH"/>
        </w:rPr>
      </w:pPr>
      <w:r>
        <w:br w:type="page"/>
      </w:r>
    </w:p>
    <w:p>
      <w:pPr>
        <w:pStyle w:val="2"/>
      </w:pPr>
      <w:r>
        <w:t>Holznutzung</w:t>
      </w:r>
    </w:p>
    <w:p>
      <w:pPr>
        <w:pStyle w:val="41"/>
        <w:rPr>
          <w:lang w:val="de-CH"/>
        </w:rPr>
      </w:pPr>
      <w:r>
        <w:rPr>
          <w:lang w:val="de-CH"/>
        </w:rPr>
        <w:t>Überlegen Sie sich möglichst viele Nutzungsarten, wie Waldtiere, aber auch der Mensch, Holz verwenden.</w:t>
      </w:r>
    </w:p>
    <w:p>
      <w:pPr>
        <w:pStyle w:val="4"/>
        <w:tabs>
          <w:tab w:val="left" w:pos="5103"/>
        </w:tabs>
      </w:pPr>
      <w:r>
        <w:t>Waldtiere</w:t>
      </w:r>
      <w:r>
        <w:tab/>
      </w:r>
      <w:r>
        <w:t>Mensch</w:t>
      </w:r>
    </w:p>
    <w:p>
      <w:pPr>
        <w:pStyle w:val="41"/>
        <w:rPr>
          <w:lang w:val="de-CH"/>
        </w:rPr>
      </w:pPr>
    </w:p>
    <w:p/>
    <w:p/>
    <w:p/>
    <w:p/>
    <w:p/>
    <w:p/>
    <w:p/>
    <w:p/>
    <w:p>
      <w:r>
        <w:drawing>
          <wp:anchor distT="0" distB="0" distL="114300" distR="114300" simplePos="0" relativeHeight="251659264" behindDoc="0" locked="0" layoutInCell="1" allowOverlap="1">
            <wp:simplePos x="0" y="0"/>
            <wp:positionH relativeFrom="margin">
              <wp:align>right</wp:align>
            </wp:positionH>
            <wp:positionV relativeFrom="paragraph">
              <wp:posOffset>209550</wp:posOffset>
            </wp:positionV>
            <wp:extent cx="1963420" cy="1892300"/>
            <wp:effectExtent l="0" t="0" r="0" b="0"/>
            <wp:wrapSquare wrapText="bothSides"/>
            <wp:docPr id="2" name="Grafik 2" descr="Ein Bild, das Blume, Pflanz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Blume, Pflanze enthält.&#10;&#10;Automatisch generierte Beschreibu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63420" cy="1892300"/>
                    </a:xfrm>
                    <a:prstGeom prst="rect">
                      <a:avLst/>
                    </a:prstGeom>
                    <a:noFill/>
                    <a:ln>
                      <a:noFill/>
                    </a:ln>
                  </pic:spPr>
                </pic:pic>
              </a:graphicData>
            </a:graphic>
          </wp:anchor>
        </w:drawing>
      </w:r>
    </w:p>
    <w:p/>
    <w:p>
      <w:pPr>
        <w:pStyle w:val="2"/>
      </w:pPr>
      <w:r>
        <w:t>Von der Blüte zur Frucht</w:t>
      </w:r>
    </w:p>
    <w:p>
      <w:r>
        <w:t>Nachdem die Blüte einer Pflanze bestäubt worden ist, bildet sich im Fruchtknoten der Samen. Aus den Fruchtblättern und manchmal weiteren Blütenteilen entwickelt sich die Frucht. Die Frucht ist das Verbreitungsorgan der Pflanzen. Beachten Sie, dass bei Pflanzen und Tieren die Fachbegriffe manchmal verschiedene Bedeutungen haben!</w:t>
      </w:r>
    </w:p>
    <w:tbl>
      <w:tblPr>
        <w:tblStyle w:val="6"/>
        <w:tblW w:w="10216" w:type="dxa"/>
        <w:tblInd w:w="45" w:type="dxa"/>
        <w:tblLayout w:type="fixed"/>
        <w:tblCellMar>
          <w:top w:w="0" w:type="dxa"/>
          <w:left w:w="10" w:type="dxa"/>
          <w:bottom w:w="0" w:type="dxa"/>
          <w:right w:w="10" w:type="dxa"/>
        </w:tblCellMar>
      </w:tblPr>
      <w:tblGrid>
        <w:gridCol w:w="3113"/>
        <w:gridCol w:w="3276"/>
        <w:gridCol w:w="3827"/>
      </w:tblGrid>
      <w:tr>
        <w:tblPrEx>
          <w:tblCellMar>
            <w:top w:w="0" w:type="dxa"/>
            <w:left w:w="10" w:type="dxa"/>
            <w:bottom w:w="0" w:type="dxa"/>
            <w:right w:w="10" w:type="dxa"/>
          </w:tblCellMar>
        </w:tblPrEx>
        <w:tc>
          <w:tcPr>
            <w:tcW w:w="3113" w:type="dxa"/>
            <w:tcBorders>
              <w:top w:val="single" w:color="000000" w:sz="2" w:space="0"/>
              <w:left w:val="single" w:color="000000" w:sz="2" w:space="0"/>
              <w:bottom w:val="single" w:color="auto" w:sz="4" w:space="0"/>
            </w:tcBorders>
            <w:shd w:val="clear" w:color="auto" w:fill="FDE9D9" w:themeFill="accent6" w:themeFillTint="33"/>
            <w:tcMar>
              <w:top w:w="55" w:type="dxa"/>
              <w:left w:w="55" w:type="dxa"/>
              <w:bottom w:w="55" w:type="dxa"/>
              <w:right w:w="55" w:type="dxa"/>
            </w:tcMar>
          </w:tcPr>
          <w:p>
            <w:pPr>
              <w:pStyle w:val="44"/>
              <w:rPr>
                <w:rFonts w:asciiTheme="minorHAnsi" w:hAnsiTheme="minorHAnsi" w:cstheme="minorHAnsi"/>
                <w:b/>
              </w:rPr>
            </w:pPr>
          </w:p>
        </w:tc>
        <w:tc>
          <w:tcPr>
            <w:tcW w:w="3276" w:type="dxa"/>
            <w:tcBorders>
              <w:top w:val="single" w:color="000000" w:sz="2" w:space="0"/>
              <w:left w:val="single" w:color="000000" w:sz="2" w:space="0"/>
              <w:bottom w:val="single" w:color="auto" w:sz="4" w:space="0"/>
            </w:tcBorders>
            <w:shd w:val="clear" w:color="auto" w:fill="FDE9D9" w:themeFill="accent6" w:themeFillTint="33"/>
            <w:tcMar>
              <w:top w:w="55" w:type="dxa"/>
              <w:left w:w="55" w:type="dxa"/>
              <w:bottom w:w="55" w:type="dxa"/>
              <w:right w:w="55" w:type="dxa"/>
            </w:tcMar>
          </w:tcPr>
          <w:p>
            <w:pPr>
              <w:pStyle w:val="44"/>
              <w:rPr>
                <w:rFonts w:asciiTheme="minorHAnsi" w:hAnsiTheme="minorHAnsi" w:cstheme="minorHAnsi"/>
                <w:b/>
              </w:rPr>
            </w:pPr>
            <w:r>
              <w:rPr>
                <w:rFonts w:asciiTheme="minorHAnsi" w:hAnsiTheme="minorHAnsi" w:cstheme="minorHAnsi"/>
                <w:b/>
              </w:rPr>
              <w:t xml:space="preserve">Pflanzen </w:t>
            </w:r>
            <w:r>
              <w:rPr>
                <w:rFonts w:asciiTheme="minorHAnsi" w:hAnsiTheme="minorHAnsi" w:cstheme="minorHAnsi"/>
              </w:rPr>
              <w:t>(v.a. typische Blütenpflanzen)</w:t>
            </w:r>
          </w:p>
        </w:tc>
        <w:tc>
          <w:tcPr>
            <w:tcW w:w="3827" w:type="dxa"/>
            <w:tcBorders>
              <w:top w:val="single" w:color="000000" w:sz="2" w:space="0"/>
              <w:left w:val="single" w:color="000000" w:sz="2" w:space="0"/>
              <w:bottom w:val="single" w:color="auto" w:sz="4" w:space="0"/>
              <w:right w:val="single" w:color="000000" w:sz="2" w:space="0"/>
            </w:tcBorders>
            <w:shd w:val="clear" w:color="auto" w:fill="FDE9D9" w:themeFill="accent6" w:themeFillTint="33"/>
            <w:tcMar>
              <w:top w:w="55" w:type="dxa"/>
              <w:left w:w="55" w:type="dxa"/>
              <w:bottom w:w="55" w:type="dxa"/>
              <w:right w:w="55" w:type="dxa"/>
            </w:tcMar>
          </w:tcPr>
          <w:p>
            <w:pPr>
              <w:pStyle w:val="44"/>
              <w:rPr>
                <w:rFonts w:asciiTheme="minorHAnsi" w:hAnsiTheme="minorHAnsi" w:cstheme="minorHAnsi"/>
                <w:b/>
              </w:rPr>
            </w:pPr>
            <w:r>
              <w:rPr>
                <w:rFonts w:asciiTheme="minorHAnsi" w:hAnsiTheme="minorHAnsi" w:cstheme="minorHAnsi"/>
                <w:b/>
              </w:rPr>
              <w:t xml:space="preserve">Tiere </w:t>
            </w:r>
            <w:r>
              <w:rPr>
                <w:rFonts w:asciiTheme="minorHAnsi" w:hAnsiTheme="minorHAnsi" w:cstheme="minorHAnsi"/>
              </w:rPr>
              <w:t>(v.a. Säugetiere)</w:t>
            </w:r>
          </w:p>
        </w:tc>
      </w:tr>
      <w:tr>
        <w:tblPrEx>
          <w:tblCellMar>
            <w:top w:w="0" w:type="dxa"/>
            <w:left w:w="10" w:type="dxa"/>
            <w:bottom w:w="0" w:type="dxa"/>
            <w:right w:w="10" w:type="dxa"/>
          </w:tblCellMar>
        </w:tblPrEx>
        <w:tc>
          <w:tcPr>
            <w:tcW w:w="3113"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männliche Geschlechtszelle</w:t>
            </w:r>
          </w:p>
        </w:tc>
        <w:tc>
          <w:tcPr>
            <w:tcW w:w="3276"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Pollen (Samenzelle ist im Innern)</w:t>
            </w:r>
          </w:p>
        </w:tc>
        <w:tc>
          <w:tcPr>
            <w:tcW w:w="3827" w:type="dxa"/>
            <w:tcBorders>
              <w:left w:val="single" w:color="000000" w:sz="2" w:space="0"/>
              <w:bottom w:val="single" w:color="000000" w:sz="2" w:space="0"/>
              <w:righ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Spermium (Samenzelle)</w:t>
            </w:r>
          </w:p>
        </w:tc>
      </w:tr>
      <w:tr>
        <w:tblPrEx>
          <w:tblCellMar>
            <w:top w:w="0" w:type="dxa"/>
            <w:left w:w="10" w:type="dxa"/>
            <w:bottom w:w="0" w:type="dxa"/>
            <w:right w:w="10" w:type="dxa"/>
          </w:tblCellMar>
        </w:tblPrEx>
        <w:tc>
          <w:tcPr>
            <w:tcW w:w="3113"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männliche Geschlechtsorgane</w:t>
            </w:r>
          </w:p>
        </w:tc>
        <w:tc>
          <w:tcPr>
            <w:tcW w:w="3276"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Staubblätter</w:t>
            </w:r>
          </w:p>
        </w:tc>
        <w:tc>
          <w:tcPr>
            <w:tcW w:w="3827" w:type="dxa"/>
            <w:tcBorders>
              <w:left w:val="single" w:color="000000" w:sz="2" w:space="0"/>
              <w:bottom w:val="single" w:color="000000" w:sz="2" w:space="0"/>
              <w:righ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Penis, Hoden</w:t>
            </w:r>
          </w:p>
        </w:tc>
      </w:tr>
      <w:tr>
        <w:tblPrEx>
          <w:tblCellMar>
            <w:top w:w="0" w:type="dxa"/>
            <w:left w:w="10" w:type="dxa"/>
            <w:bottom w:w="0" w:type="dxa"/>
            <w:right w:w="10" w:type="dxa"/>
          </w:tblCellMar>
        </w:tblPrEx>
        <w:tc>
          <w:tcPr>
            <w:tcW w:w="3113"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weibliche Geschlechtszelle</w:t>
            </w:r>
          </w:p>
        </w:tc>
        <w:tc>
          <w:tcPr>
            <w:tcW w:w="3276" w:type="dxa"/>
            <w:tcBorders>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Eizelle</w:t>
            </w:r>
          </w:p>
        </w:tc>
        <w:tc>
          <w:tcPr>
            <w:tcW w:w="3827" w:type="dxa"/>
            <w:tcBorders>
              <w:left w:val="single" w:color="000000" w:sz="2" w:space="0"/>
              <w:bottom w:val="single" w:color="000000" w:sz="2" w:space="0"/>
              <w:righ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Eizelle</w:t>
            </w:r>
          </w:p>
        </w:tc>
      </w:tr>
      <w:tr>
        <w:tblPrEx>
          <w:tblCellMar>
            <w:top w:w="0" w:type="dxa"/>
            <w:left w:w="10" w:type="dxa"/>
            <w:bottom w:w="0" w:type="dxa"/>
            <w:right w:w="10" w:type="dxa"/>
          </w:tblCellMar>
        </w:tblPrEx>
        <w:tc>
          <w:tcPr>
            <w:tcW w:w="3113" w:type="dxa"/>
            <w:tcBorders>
              <w:lef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weibliche Geschlechtsorgane</w:t>
            </w:r>
          </w:p>
        </w:tc>
        <w:tc>
          <w:tcPr>
            <w:tcW w:w="3276" w:type="dxa"/>
            <w:tcBorders>
              <w:lef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Fruchtblätter</w:t>
            </w:r>
          </w:p>
        </w:tc>
        <w:tc>
          <w:tcPr>
            <w:tcW w:w="3827" w:type="dxa"/>
            <w:tcBorders>
              <w:left w:val="single" w:color="000000" w:sz="2" w:space="0"/>
              <w:righ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Vagina, Ovarien, Uterus</w:t>
            </w:r>
          </w:p>
        </w:tc>
      </w:tr>
      <w:tr>
        <w:tblPrEx>
          <w:tblCellMar>
            <w:top w:w="0" w:type="dxa"/>
            <w:left w:w="10" w:type="dxa"/>
            <w:bottom w:w="0" w:type="dxa"/>
            <w:right w:w="10" w:type="dxa"/>
          </w:tblCellMar>
        </w:tblPrEx>
        <w:tc>
          <w:tcPr>
            <w:tcW w:w="3113" w:type="dxa"/>
            <w:tcBorders>
              <w:top w:val="single" w:color="auto" w:sz="4" w:space="0"/>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Organ in dem der Embryo heranreift</w:t>
            </w:r>
          </w:p>
        </w:tc>
        <w:tc>
          <w:tcPr>
            <w:tcW w:w="3276" w:type="dxa"/>
            <w:tcBorders>
              <w:top w:val="single" w:color="auto" w:sz="4" w:space="0"/>
              <w:left w:val="single" w:color="000000" w:sz="2" w:space="0"/>
              <w:bottom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Samen</w:t>
            </w:r>
          </w:p>
        </w:tc>
        <w:tc>
          <w:tcPr>
            <w:tcW w:w="3827" w:type="dxa"/>
            <w:tcBorders>
              <w:top w:val="single" w:color="auto" w:sz="4" w:space="0"/>
              <w:left w:val="single" w:color="000000" w:sz="2" w:space="0"/>
              <w:bottom w:val="single" w:color="000000" w:sz="2" w:space="0"/>
              <w:right w:val="single" w:color="000000" w:sz="2" w:space="0"/>
            </w:tcBorders>
            <w:tcMar>
              <w:top w:w="55" w:type="dxa"/>
              <w:left w:w="55" w:type="dxa"/>
              <w:bottom w:w="55" w:type="dxa"/>
              <w:right w:w="55" w:type="dxa"/>
            </w:tcMar>
          </w:tcPr>
          <w:p>
            <w:pPr>
              <w:pStyle w:val="44"/>
              <w:rPr>
                <w:rFonts w:asciiTheme="minorHAnsi" w:hAnsiTheme="minorHAnsi" w:cstheme="minorHAnsi"/>
              </w:rPr>
            </w:pPr>
            <w:r>
              <w:rPr>
                <w:rFonts w:asciiTheme="minorHAnsi" w:hAnsiTheme="minorHAnsi" w:cstheme="minorHAnsi"/>
              </w:rPr>
              <w:t>Uterus (Gebärmutter)</w:t>
            </w:r>
          </w:p>
        </w:tc>
      </w:tr>
    </w:tbl>
    <w:p>
      <w:pPr>
        <w:pStyle w:val="3"/>
      </w:pPr>
    </w:p>
    <w:p>
      <w:pPr>
        <w:rPr>
          <w:rFonts w:eastAsiaTheme="majorEastAsia" w:cstheme="minorHAnsi"/>
          <w:color w:val="E46C0A" w:themeColor="accent6" w:themeShade="BF"/>
          <w:sz w:val="28"/>
          <w:szCs w:val="28"/>
        </w:rPr>
      </w:pPr>
      <w:r>
        <w:br w:type="page"/>
      </w:r>
    </w:p>
    <w:p>
      <w:pPr>
        <w:pStyle w:val="3"/>
      </w:pPr>
      <w:r>
        <w:rPr>
          <w:lang w:eastAsia="de-CH"/>
        </w:rPr>
        <w:drawing>
          <wp:anchor distT="0" distB="0" distL="114300" distR="114300" simplePos="0" relativeHeight="251661312" behindDoc="0" locked="0" layoutInCell="1" allowOverlap="1">
            <wp:simplePos x="0" y="0"/>
            <wp:positionH relativeFrom="margin">
              <wp:posOffset>5055235</wp:posOffset>
            </wp:positionH>
            <wp:positionV relativeFrom="paragraph">
              <wp:posOffset>210820</wp:posOffset>
            </wp:positionV>
            <wp:extent cx="1412875" cy="1486535"/>
            <wp:effectExtent l="0" t="0" r="0" b="0"/>
            <wp:wrapSquare wrapText="bothSides"/>
            <wp:docPr id="8" name="Grafik 8" descr="Fruchtknoten Aufbau (biocircle.fu-berli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Fruchtknoten Aufbau (biocircle.fu-berlin.d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412875" cy="1486535"/>
                    </a:xfrm>
                    <a:prstGeom prst="rect">
                      <a:avLst/>
                    </a:prstGeom>
                    <a:noFill/>
                  </pic:spPr>
                </pic:pic>
              </a:graphicData>
            </a:graphic>
          </wp:anchor>
        </w:drawing>
      </w:r>
      <w:r>
        <w:t>Botanische Einteilung von Früchten</w:t>
      </w:r>
    </w:p>
    <w:p>
      <w:r>
        <w:t xml:space="preserve">Botanisch teilen wir Früchte anhand des Aufbaus der drei Fruchtschichten </w:t>
      </w:r>
      <w:r>
        <w:rPr>
          <w:rStyle w:val="40"/>
          <w:lang w:val="de-CH"/>
        </w:rPr>
        <w:t>Exokarp</w:t>
      </w:r>
      <w:r>
        <w:t xml:space="preserve">, </w:t>
      </w:r>
      <w:r>
        <w:rPr>
          <w:rStyle w:val="40"/>
          <w:lang w:val="de-CH"/>
        </w:rPr>
        <w:t>Mesokarp</w:t>
      </w:r>
      <w:r>
        <w:t xml:space="preserve"> und </w:t>
      </w:r>
      <w:r>
        <w:rPr>
          <w:rStyle w:val="40"/>
          <w:lang w:val="de-CH"/>
        </w:rPr>
        <w:t>Endokarp</w:t>
      </w:r>
      <w:r>
        <w:t xml:space="preserve"> ein. Die Fruchtschichten sind bei einem Querschnitt von aussen nach innen erkennbar (siehe Abbildung). Bei einer Heidelbeere ist die blaue Haut das Exokarp, das Fruchtfleisch das Mesokarp und das weiche Glitschige um den Samen das Endokarp. Es ist möglich, dass die Samenanlage viele Samen enthält. </w:t>
      </w:r>
    </w:p>
    <w:p>
      <w:r>
        <w:t>Eine Scheinfrucht besteht aus weiteren Blütenbestandteilen währendem eine Sammelfrucht aus mehreren mehr oder weniger verwachsenen Einzelfrüchten besteht.</w:t>
      </w:r>
    </w:p>
    <w:p>
      <w:pPr>
        <w:pStyle w:val="41"/>
        <w:rPr>
          <w:lang w:val="de-CH"/>
        </w:rPr>
      </w:pPr>
      <w:r>
        <w:rPr>
          <w:lang w:val="de-CH"/>
        </w:rPr>
        <w:t>Versuchen Sie, die aufgelisteten sowie die bereitgelegten Früchte botanisch richtig einzuteilen. Lassen Sie sich nicht von Ihrem Allgemeinwissen verwirren, die botanische Einteilung widerspricht dieser oft. Überlegen Sie auch gut, ob Sie stets die ganze Frucht sehen oder doch nur einen Teil davon.</w:t>
      </w:r>
    </w:p>
    <w:p>
      <w:pPr>
        <w:pStyle w:val="38"/>
      </w:pPr>
      <w:r>
        <w:t>Heidelbeere, Himbeere, Erdbeere, Kokosnuss, Mango, Banane, Tomate, Gurke, Baumnuss, Kiwi, Haselnuss, Ananas, Apfel</w:t>
      </w:r>
    </w:p>
    <w:p>
      <w:pPr>
        <w:pStyle w:val="41"/>
        <w:rPr>
          <w:lang w:val="de-CH"/>
        </w:rPr>
      </w:pPr>
      <w:r>
        <w:rPr>
          <w:lang w:val="de-CH"/>
        </w:rPr>
        <w:t>Sie dürfen von den bereitgelegten Früchten Querschnitte erstellen und diese auch essen!</w:t>
      </w:r>
    </w:p>
    <w:p>
      <w:pPr>
        <w:pStyle w:val="41"/>
        <w:rPr>
          <w:lang w:val="de-CH"/>
        </w:rPr>
      </w:pPr>
    </w:p>
    <w:tbl>
      <w:tblPr>
        <w:tblStyle w:val="18"/>
        <w:tblW w:w="9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0"/>
        <w:gridCol w:w="2910"/>
        <w:gridCol w:w="1823"/>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3090" w:type="dxa"/>
            <w:tcBorders>
              <w:left w:val="single" w:color="auto" w:sz="4" w:space="0"/>
              <w:bottom w:val="nil"/>
              <w:right w:val="nil"/>
              <w:insideH w:val="nil"/>
              <w:insideV w:val="nil"/>
            </w:tcBorders>
            <w:shd w:val="clear" w:color="auto" w:fill="FFFFFF" w:themeFill="background1"/>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Fruchtart</w:t>
            </w:r>
          </w:p>
        </w:tc>
        <w:tc>
          <w:tcPr>
            <w:tcW w:w="2910" w:type="dxa"/>
            <w:tcBorders>
              <w:left w:val="single" w:color="auto" w:sz="4" w:space="0"/>
              <w:bottom w:val="single" w:color="auto" w:sz="4" w:space="0"/>
              <w:right w:val="nil"/>
              <w:insideV w:val="nil"/>
            </w:tcBorders>
            <w:shd w:val="clear" w:color="auto" w:fill="FFFFFF" w:themeFill="background1"/>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Beispiele</w:t>
            </w:r>
          </w:p>
        </w:tc>
        <w:tc>
          <w:tcPr>
            <w:tcW w:w="3623" w:type="dxa"/>
            <w:gridSpan w:val="2"/>
            <w:tcBorders>
              <w:left w:val="single" w:color="auto" w:sz="4" w:space="0"/>
              <w:bottom w:val="nil"/>
              <w:right w:val="single" w:color="auto" w:sz="4" w:space="0"/>
              <w:insideH w:val="nil"/>
              <w:insideV w:val="nil"/>
            </w:tcBorders>
            <w:shd w:val="clear" w:color="auto" w:fill="FFFFFF" w:themeFill="background1"/>
            <w:vAlign w:val="center"/>
          </w:tcPr>
          <w:p>
            <w:pPr>
              <w:pStyle w:val="35"/>
              <w:numPr>
                <w:ilvl w:val="0"/>
                <w:numId w:val="1"/>
              </w:numPr>
              <w:ind w:left="0" w:firstLine="0"/>
              <w:rPr>
                <w:color w:val="31859C" w:themeColor="accent5" w:themeShade="BF"/>
              </w:rPr>
            </w:pPr>
            <w:r>
              <w:rPr>
                <w:color w:val="000000" w:themeColor="text1"/>
                <w:sz w:val="20"/>
                <w:szCs w:val="20"/>
                <w14:textFill>
                  <w14:solidFill>
                    <w14:schemeClr w14:val="tx1"/>
                  </w14:solidFill>
                </w14:textFill>
              </w:rPr>
              <w:t>Fruchtschichten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restart"/>
            <w:tcBorders>
              <w:top w:val="single" w:color="auto" w:sz="4" w:space="0"/>
              <w:left w:val="nil"/>
              <w:bottom w:val="nil"/>
              <w:right w:val="nil"/>
              <w:insideH w:val="nil"/>
            </w:tcBorders>
            <w:shd w:val="clear" w:color="auto" w:fill="auto"/>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Beere</w:t>
            </w:r>
          </w:p>
        </w:tc>
        <w:tc>
          <w:tcPr>
            <w:tcW w:w="2910" w:type="dxa"/>
            <w:vMerge w:val="restart"/>
            <w:tcBorders>
              <w:top w:val="single" w:color="auto" w:sz="4" w:space="0"/>
            </w:tcBorders>
            <w:shd w:val="clear" w:color="auto" w:fill="auto"/>
          </w:tcPr>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Heilderbeere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Banane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Tomate</w:t>
            </w:r>
          </w:p>
        </w:tc>
        <w:tc>
          <w:tcPr>
            <w:tcW w:w="1823" w:type="dxa"/>
            <w:tcBorders>
              <w:top w:val="single" w:color="auto" w:sz="4" w:space="0"/>
              <w:left w:val="nil"/>
              <w:bottom w:val="nil"/>
              <w:right w:val="nil"/>
              <w:insideH w:val="nil"/>
            </w:tcBorders>
            <w:shd w:val="clear" w:color="auto" w:fill="EAF1DD" w:themeFill="accent3" w:themeFillTint="33"/>
            <w:vAlign w:val="center"/>
          </w:tcPr>
          <w:p>
            <w:pPr>
              <w:pStyle w:val="35"/>
              <w:numPr>
                <w:ilvl w:val="0"/>
                <w:numId w:val="1"/>
              </w:numPr>
              <w:ind w:left="0" w:firstLine="0"/>
              <w:rPr>
                <w:color w:val="auto"/>
              </w:rPr>
            </w:pPr>
            <w:r>
              <w:rPr>
                <w:color w:val="auto"/>
              </w:rPr>
              <w:t>Endokarp</w:t>
            </w:r>
          </w:p>
        </w:tc>
        <w:tc>
          <w:tcPr>
            <w:tcW w:w="1800" w:type="dxa"/>
            <w:tcBorders>
              <w:top w:val="single" w:color="auto" w:sz="4" w:space="0"/>
            </w:tcBorders>
            <w:shd w:val="clear" w:color="auto" w:fill="EAF1DD" w:themeFill="accent3" w:themeFillTint="33"/>
            <w:vAlign w:val="center"/>
          </w:tcPr>
          <w:p>
            <w:pPr>
              <w:pStyle w:val="35"/>
              <w:numPr>
                <w:ilvl w:val="0"/>
                <w:numId w:val="1"/>
              </w:numPr>
              <w:ind w:left="0" w:firstLine="0"/>
              <w:rPr>
                <w:color w:val="auto"/>
              </w:rPr>
            </w:pPr>
            <w:r>
              <w:rPr>
                <w:color w:val="auto"/>
              </w:rPr>
              <w:t>fleischig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tcBorders>
              <w:right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insideV w:val="nil"/>
            </w:tcBorders>
            <w:shd w:val="clear" w:color="auto" w:fill="EAF1DD" w:themeFill="accent3" w:themeFillTint="33"/>
            <w:vAlign w:val="center"/>
          </w:tcPr>
          <w:p>
            <w:pPr>
              <w:pStyle w:val="35"/>
              <w:numPr>
                <w:ilvl w:val="0"/>
                <w:numId w:val="1"/>
              </w:numPr>
              <w:ind w:left="0" w:firstLine="0"/>
              <w:rPr>
                <w:color w:val="auto"/>
              </w:rPr>
            </w:pPr>
            <w:r>
              <w:rPr>
                <w:color w:val="auto"/>
              </w:rPr>
              <w:t>Mesokarp</w:t>
            </w:r>
          </w:p>
        </w:tc>
        <w:tc>
          <w:tcPr>
            <w:tcW w:w="1800" w:type="dxa"/>
            <w:tcBorders>
              <w:right w:val="nil"/>
              <w:insideV w:val="nil"/>
            </w:tcBorders>
            <w:shd w:val="clear" w:color="auto" w:fill="EAF1DD" w:themeFill="accent3" w:themeFillTint="33"/>
            <w:vAlign w:val="center"/>
          </w:tcPr>
          <w:p>
            <w:pPr>
              <w:pStyle w:val="35"/>
              <w:numPr>
                <w:ilvl w:val="0"/>
                <w:numId w:val="1"/>
              </w:numPr>
              <w:ind w:left="0" w:firstLine="0"/>
              <w:rPr>
                <w:color w:val="auto"/>
              </w:rPr>
            </w:pPr>
            <w:r>
              <w:rPr>
                <w:color w:val="auto"/>
              </w:rPr>
              <w:t>fleischig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tcBorders>
            <w:shd w:val="clear" w:color="auto" w:fill="DBE5F1" w:themeFill="accent1" w:themeFillTint="33"/>
            <w:vAlign w:val="center"/>
          </w:tcPr>
          <w:p>
            <w:pPr>
              <w:pStyle w:val="35"/>
              <w:numPr>
                <w:ilvl w:val="0"/>
                <w:numId w:val="1"/>
              </w:numPr>
              <w:ind w:left="0" w:firstLine="0"/>
              <w:rPr>
                <w:color w:val="auto"/>
              </w:rPr>
            </w:pPr>
            <w:r>
              <w:rPr>
                <w:color w:val="auto"/>
              </w:rPr>
              <w:t>Exokarp</w:t>
            </w:r>
          </w:p>
        </w:tc>
        <w:tc>
          <w:tcPr>
            <w:tcW w:w="1800" w:type="dxa"/>
            <w:shd w:val="clear" w:color="auto" w:fill="DBE5F1" w:themeFill="accent1" w:themeFillTint="33"/>
            <w:vAlign w:val="center"/>
          </w:tcPr>
          <w:p>
            <w:pPr>
              <w:pStyle w:val="35"/>
              <w:numPr>
                <w:ilvl w:val="0"/>
                <w:numId w:val="1"/>
              </w:numPr>
              <w:ind w:left="0" w:firstLine="0"/>
              <w:rPr>
                <w:color w:val="auto"/>
              </w:rPr>
            </w:pPr>
            <w:r>
              <w:rPr>
                <w:color w:val="auto"/>
              </w:rPr>
              <w:t>häutig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restart"/>
            <w:tcBorders>
              <w:left w:val="nil"/>
              <w:bottom w:val="nil"/>
              <w:right w:val="nil"/>
              <w:insideH w:val="nil"/>
              <w:insideV w:val="nil"/>
            </w:tcBorders>
            <w:shd w:val="clear" w:color="auto" w:fill="auto"/>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Steinfrucht</w:t>
            </w:r>
          </w:p>
        </w:tc>
        <w:tc>
          <w:tcPr>
            <w:tcW w:w="2910" w:type="dxa"/>
            <w:vMerge w:val="restart"/>
            <w:tcBorders>
              <w:right w:val="nil"/>
              <w:insideV w:val="nil"/>
            </w:tcBorders>
            <w:shd w:val="clear" w:color="auto" w:fill="auto"/>
          </w:tcPr>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Himbeere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Erdbeere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Kokosnuss</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Brombeere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Baumnuss</w:t>
            </w:r>
          </w:p>
        </w:tc>
        <w:tc>
          <w:tcPr>
            <w:tcW w:w="1823" w:type="dxa"/>
            <w:tcBorders>
              <w:left w:val="nil"/>
              <w:bottom w:val="nil"/>
              <w:right w:val="nil"/>
              <w:insideH w:val="nil"/>
              <w:insideV w:val="nil"/>
            </w:tcBorders>
            <w:shd w:val="clear" w:color="auto" w:fill="C3BD96" w:themeFill="background2" w:themeFillShade="BF"/>
            <w:vAlign w:val="center"/>
          </w:tcPr>
          <w:p>
            <w:pPr>
              <w:pStyle w:val="35"/>
              <w:numPr>
                <w:ilvl w:val="0"/>
                <w:numId w:val="1"/>
              </w:numPr>
              <w:ind w:left="0" w:firstLine="0"/>
              <w:rPr>
                <w:color w:val="auto"/>
              </w:rPr>
            </w:pPr>
            <w:r>
              <w:rPr>
                <w:color w:val="auto"/>
              </w:rPr>
              <w:t>Endokarp</w:t>
            </w:r>
          </w:p>
        </w:tc>
        <w:tc>
          <w:tcPr>
            <w:tcW w:w="1800" w:type="dxa"/>
            <w:tcBorders>
              <w:right w:val="nil"/>
              <w:insideV w:val="nil"/>
            </w:tcBorders>
            <w:shd w:val="clear" w:color="auto" w:fill="C3BD96" w:themeFill="background2" w:themeFillShade="BF"/>
            <w:vAlign w:val="center"/>
          </w:tcPr>
          <w:p>
            <w:pPr>
              <w:pStyle w:val="35"/>
              <w:numPr>
                <w:ilvl w:val="0"/>
                <w:numId w:val="1"/>
              </w:numPr>
              <w:ind w:left="0" w:firstLine="0"/>
              <w:rPr>
                <w:color w:val="auto"/>
              </w:rPr>
            </w:pPr>
            <w:r>
              <w:rPr>
                <w:color w:val="auto"/>
              </w:rPr>
              <w:t>holzig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tcBorders>
            <w:shd w:val="clear" w:color="auto" w:fill="EAF1DD" w:themeFill="accent3" w:themeFillTint="33"/>
            <w:vAlign w:val="center"/>
          </w:tcPr>
          <w:p>
            <w:pPr>
              <w:pStyle w:val="35"/>
              <w:numPr>
                <w:ilvl w:val="0"/>
                <w:numId w:val="1"/>
              </w:numPr>
              <w:ind w:left="0" w:firstLine="0"/>
              <w:rPr>
                <w:color w:val="auto"/>
              </w:rPr>
            </w:pPr>
            <w:r>
              <w:rPr>
                <w:color w:val="auto"/>
              </w:rPr>
              <w:t>Mesokarp</w:t>
            </w:r>
          </w:p>
        </w:tc>
        <w:tc>
          <w:tcPr>
            <w:tcW w:w="1800" w:type="dxa"/>
            <w:shd w:val="clear" w:color="auto" w:fill="EAF1DD" w:themeFill="accent3" w:themeFillTint="33"/>
            <w:vAlign w:val="center"/>
          </w:tcPr>
          <w:p>
            <w:pPr>
              <w:pStyle w:val="35"/>
              <w:numPr>
                <w:ilvl w:val="0"/>
                <w:numId w:val="1"/>
              </w:numPr>
              <w:ind w:left="0" w:firstLine="0"/>
              <w:rPr>
                <w:color w:val="auto"/>
              </w:rPr>
            </w:pPr>
            <w:r>
              <w:rPr>
                <w:color w:val="auto"/>
              </w:rPr>
              <w:t>fleischig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tcBorders>
              <w:right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insideV w:val="nil"/>
            </w:tcBorders>
            <w:shd w:val="clear" w:color="auto" w:fill="DBE5F1" w:themeFill="accent1" w:themeFillTint="33"/>
            <w:vAlign w:val="center"/>
          </w:tcPr>
          <w:p>
            <w:pPr>
              <w:pStyle w:val="35"/>
              <w:numPr>
                <w:ilvl w:val="0"/>
                <w:numId w:val="1"/>
              </w:numPr>
              <w:ind w:left="0" w:firstLine="0"/>
              <w:rPr>
                <w:color w:val="auto"/>
              </w:rPr>
            </w:pPr>
            <w:r>
              <w:rPr>
                <w:color w:val="auto"/>
              </w:rPr>
              <w:t>Exokarp</w:t>
            </w:r>
          </w:p>
        </w:tc>
        <w:tc>
          <w:tcPr>
            <w:tcW w:w="1800" w:type="dxa"/>
            <w:tcBorders>
              <w:right w:val="nil"/>
              <w:insideV w:val="nil"/>
            </w:tcBorders>
            <w:shd w:val="clear" w:color="auto" w:fill="DBE5F1" w:themeFill="accent1" w:themeFillTint="33"/>
            <w:vAlign w:val="center"/>
          </w:tcPr>
          <w:p>
            <w:pPr>
              <w:pStyle w:val="35"/>
              <w:numPr>
                <w:ilvl w:val="0"/>
                <w:numId w:val="1"/>
              </w:numPr>
              <w:ind w:left="0" w:firstLine="0"/>
              <w:rPr>
                <w:color w:val="auto"/>
              </w:rPr>
            </w:pPr>
            <w:r>
              <w:rPr>
                <w:color w:val="auto"/>
              </w:rPr>
              <w:t>häutig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restart"/>
            <w:tcBorders>
              <w:left w:val="nil"/>
              <w:bottom w:val="nil"/>
              <w:right w:val="nil"/>
              <w:insideH w:val="nil"/>
            </w:tcBorders>
            <w:shd w:val="clear" w:color="auto" w:fill="auto"/>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Nuss</w:t>
            </w:r>
          </w:p>
        </w:tc>
        <w:tc>
          <w:tcPr>
            <w:tcW w:w="2910" w:type="dxa"/>
            <w:vMerge w:val="restart"/>
            <w:shd w:val="clear" w:color="auto" w:fill="auto"/>
          </w:tcPr>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Erdbeere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Haselnuss</w:t>
            </w:r>
          </w:p>
        </w:tc>
        <w:tc>
          <w:tcPr>
            <w:tcW w:w="1823" w:type="dxa"/>
            <w:tcBorders>
              <w:left w:val="nil"/>
              <w:bottom w:val="nil"/>
              <w:right w:val="nil"/>
              <w:insideH w:val="nil"/>
            </w:tcBorders>
            <w:shd w:val="clear" w:color="auto" w:fill="C3BD96" w:themeFill="background2" w:themeFillShade="BF"/>
            <w:vAlign w:val="center"/>
          </w:tcPr>
          <w:p>
            <w:pPr>
              <w:pStyle w:val="35"/>
              <w:numPr>
                <w:ilvl w:val="0"/>
                <w:numId w:val="1"/>
              </w:numPr>
              <w:ind w:left="0" w:firstLine="0"/>
              <w:rPr>
                <w:color w:val="auto"/>
              </w:rPr>
            </w:pPr>
            <w:r>
              <w:rPr>
                <w:color w:val="auto"/>
              </w:rPr>
              <w:t>Endokarp</w:t>
            </w:r>
          </w:p>
        </w:tc>
        <w:tc>
          <w:tcPr>
            <w:tcW w:w="1800" w:type="dxa"/>
            <w:shd w:val="clear" w:color="auto" w:fill="C3BD96" w:themeFill="background2" w:themeFillShade="BF"/>
            <w:vAlign w:val="center"/>
          </w:tcPr>
          <w:p>
            <w:pPr>
              <w:pStyle w:val="35"/>
              <w:numPr>
                <w:ilvl w:val="0"/>
                <w:numId w:val="1"/>
              </w:numPr>
              <w:ind w:left="0" w:firstLine="0"/>
              <w:rPr>
                <w:color w:val="auto"/>
              </w:rPr>
            </w:pPr>
            <w:r>
              <w:rPr>
                <w:color w:val="auto"/>
              </w:rPr>
              <w:t>holzig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tcBorders>
              <w:right w:val="nil"/>
              <w:insideV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insideV w:val="nil"/>
            </w:tcBorders>
            <w:shd w:val="clear" w:color="auto" w:fill="C3BD96" w:themeFill="background2" w:themeFillShade="BF"/>
            <w:vAlign w:val="center"/>
          </w:tcPr>
          <w:p>
            <w:pPr>
              <w:pStyle w:val="35"/>
              <w:numPr>
                <w:ilvl w:val="0"/>
                <w:numId w:val="1"/>
              </w:numPr>
              <w:ind w:left="0" w:firstLine="0"/>
              <w:rPr>
                <w:color w:val="auto"/>
              </w:rPr>
            </w:pPr>
            <w:r>
              <w:rPr>
                <w:color w:val="auto"/>
              </w:rPr>
              <w:t>Mesokarp</w:t>
            </w:r>
          </w:p>
        </w:tc>
        <w:tc>
          <w:tcPr>
            <w:tcW w:w="1800" w:type="dxa"/>
            <w:tcBorders>
              <w:right w:val="nil"/>
              <w:insideV w:val="nil"/>
            </w:tcBorders>
            <w:shd w:val="clear" w:color="auto" w:fill="C3BD96" w:themeFill="background2" w:themeFillShade="BF"/>
            <w:vAlign w:val="center"/>
          </w:tcPr>
          <w:p>
            <w:pPr>
              <w:pStyle w:val="35"/>
              <w:numPr>
                <w:ilvl w:val="0"/>
                <w:numId w:val="1"/>
              </w:numPr>
              <w:ind w:left="0" w:firstLine="0"/>
              <w:rPr>
                <w:color w:val="auto"/>
              </w:rPr>
            </w:pPr>
            <w:r>
              <w:rPr>
                <w:color w:val="auto"/>
              </w:rPr>
              <w:t>holzig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3090" w:type="dxa"/>
            <w:vMerge w:val="continue"/>
            <w:tcBorders>
              <w:left w:val="nil"/>
              <w:bottom w:val="nil"/>
              <w:right w:val="nil"/>
              <w:insideH w:val="nil"/>
            </w:tcBorders>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2910" w:type="dxa"/>
            <w:vMerge w:val="continue"/>
            <w:shd w:val="clear" w:color="auto" w:fill="auto"/>
          </w:tcPr>
          <w:p>
            <w:pPr>
              <w:pStyle w:val="35"/>
              <w:numPr>
                <w:ilvl w:val="0"/>
                <w:numId w:val="1"/>
              </w:numPr>
              <w:ind w:left="0" w:firstLine="0"/>
              <w:rPr>
                <w:rFonts w:ascii="Arial" w:hAnsi="Arial" w:eastAsia="SimSun" w:cs="Mangal"/>
                <w:color w:val="000000" w:themeColor="text1"/>
                <w:sz w:val="20"/>
                <w:szCs w:val="20"/>
                <w:lang w:bidi="hi-IN"/>
                <w14:textFill>
                  <w14:solidFill>
                    <w14:schemeClr w14:val="tx1"/>
                  </w14:solidFill>
                </w14:textFill>
              </w:rPr>
            </w:pPr>
          </w:p>
        </w:tc>
        <w:tc>
          <w:tcPr>
            <w:tcW w:w="1823" w:type="dxa"/>
            <w:tcBorders>
              <w:left w:val="nil"/>
              <w:bottom w:val="nil"/>
              <w:right w:val="nil"/>
              <w:insideH w:val="nil"/>
            </w:tcBorders>
            <w:shd w:val="clear" w:color="auto" w:fill="C3BD96" w:themeFill="background2" w:themeFillShade="BF"/>
            <w:vAlign w:val="center"/>
          </w:tcPr>
          <w:p>
            <w:pPr>
              <w:pStyle w:val="35"/>
              <w:numPr>
                <w:ilvl w:val="0"/>
                <w:numId w:val="1"/>
              </w:numPr>
              <w:ind w:left="0" w:firstLine="0"/>
              <w:rPr>
                <w:color w:val="auto"/>
              </w:rPr>
            </w:pPr>
            <w:r>
              <w:rPr>
                <w:color w:val="auto"/>
              </w:rPr>
              <w:t>Exokarp</w:t>
            </w:r>
          </w:p>
        </w:tc>
        <w:tc>
          <w:tcPr>
            <w:tcW w:w="1800" w:type="dxa"/>
            <w:shd w:val="clear" w:color="auto" w:fill="C3BD96" w:themeFill="background2" w:themeFillShade="BF"/>
            <w:vAlign w:val="center"/>
          </w:tcPr>
          <w:p>
            <w:pPr>
              <w:pStyle w:val="35"/>
              <w:numPr>
                <w:ilvl w:val="0"/>
                <w:numId w:val="1"/>
              </w:numPr>
              <w:ind w:left="0" w:firstLine="0"/>
              <w:rPr>
                <w:color w:val="auto"/>
              </w:rPr>
            </w:pPr>
            <w:r>
              <w:rPr>
                <w:color w:val="auto"/>
              </w:rPr>
              <w:t>holzig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3090" w:type="dxa"/>
            <w:tcBorders>
              <w:left w:val="nil"/>
              <w:bottom w:val="nil"/>
              <w:right w:val="nil"/>
              <w:insideH w:val="nil"/>
              <w:insideV w:val="nil"/>
            </w:tcBorders>
            <w:shd w:val="clear" w:color="auto" w:fill="auto"/>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Scheinfrucht</w:t>
            </w:r>
          </w:p>
        </w:tc>
        <w:tc>
          <w:tcPr>
            <w:tcW w:w="2910" w:type="dxa"/>
            <w:tcBorders>
              <w:right w:val="nil"/>
              <w:insideV w:val="nil"/>
            </w:tcBorders>
            <w:shd w:val="clear" w:color="auto" w:fill="auto"/>
          </w:tcPr>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Erdbeere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Kokosnuss</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Mango</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Ananas</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Apfel</w:t>
            </w:r>
            <w:bookmarkStart w:id="0" w:name="_GoBack"/>
            <w:bookmarkEnd w:id="0"/>
          </w:p>
        </w:tc>
        <w:tc>
          <w:tcPr>
            <w:tcW w:w="3623" w:type="dxa"/>
            <w:gridSpan w:val="2"/>
            <w:tcBorders>
              <w:left w:val="nil"/>
              <w:bottom w:val="nil"/>
              <w:right w:val="nil"/>
              <w:insideH w:val="nil"/>
              <w:insideV w:val="nil"/>
            </w:tcBorders>
            <w:shd w:val="clear" w:color="auto" w:fill="auto"/>
            <w:vAlign w:val="center"/>
          </w:tcPr>
          <w:p>
            <w:pPr>
              <w:pStyle w:val="35"/>
              <w:numPr>
                <w:ilvl w:val="0"/>
                <w:numId w:val="1"/>
              </w:numPr>
              <w:ind w:left="0" w:firstLine="0"/>
              <w:rPr>
                <w:color w:val="auto"/>
              </w:rPr>
            </w:pPr>
            <w:r>
              <w:rPr>
                <w:color w:val="auto"/>
              </w:rPr>
              <w:t>speziell, weitere Pflanzenteile beteiligt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1" w:hRule="atLeast"/>
        </w:trPr>
        <w:tc>
          <w:tcPr>
            <w:tcW w:w="3090" w:type="dxa"/>
            <w:tcBorders>
              <w:left w:val="nil"/>
              <w:right w:val="nil"/>
              <w:insideH w:val="nil"/>
            </w:tcBorders>
            <w:shd w:val="clear" w:color="auto" w:fill="auto"/>
          </w:tcPr>
          <w:p>
            <w:pPr>
              <w:pStyle w:val="35"/>
              <w:numPr>
                <w:ilvl w:val="0"/>
                <w:numId w:val="1"/>
              </w:numPr>
              <w:ind w:left="0" w:firstLine="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Sammelfrucht</w:t>
            </w:r>
          </w:p>
        </w:tc>
        <w:tc>
          <w:tcPr>
            <w:tcW w:w="2910" w:type="dxa"/>
            <w:shd w:val="clear" w:color="auto" w:fill="auto"/>
          </w:tcPr>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Erdbeere</w:t>
            </w:r>
          </w:p>
          <w:p>
            <w:pPr>
              <w:pStyle w:val="35"/>
              <w:numPr>
                <w:numId w:val="0"/>
              </w:numPr>
              <w:ind w:leftChars="0"/>
              <w:rPr>
                <w:rFonts w:hint="default"/>
                <w:color w:val="000000" w:themeColor="text1"/>
                <w:sz w:val="20"/>
                <w:szCs w:val="20"/>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 Himbeere</w:t>
            </w:r>
          </w:p>
          <w:p>
            <w:pPr>
              <w:pStyle w:val="35"/>
              <w:numPr>
                <w:ilvl w:val="0"/>
                <w:numId w:val="1"/>
              </w:numPr>
              <w:ind w:left="0" w:firstLine="0"/>
              <w:rPr>
                <w:color w:val="000000" w:themeColor="text1"/>
                <w:sz w:val="20"/>
                <w:szCs w:val="20"/>
                <w14:textFill>
                  <w14:solidFill>
                    <w14:schemeClr w14:val="tx1"/>
                  </w14:solidFill>
                </w14:textFill>
              </w:rPr>
            </w:pPr>
          </w:p>
        </w:tc>
        <w:tc>
          <w:tcPr>
            <w:tcW w:w="3623" w:type="dxa"/>
            <w:gridSpan w:val="2"/>
            <w:tcBorders>
              <w:left w:val="nil"/>
              <w:right w:val="nil"/>
              <w:insideH w:val="nil"/>
            </w:tcBorders>
            <w:shd w:val="clear" w:color="auto" w:fill="auto"/>
            <w:vAlign w:val="center"/>
          </w:tcPr>
          <w:p>
            <w:pPr>
              <w:pStyle w:val="35"/>
              <w:numPr>
                <w:ilvl w:val="0"/>
                <w:numId w:val="1"/>
              </w:numPr>
              <w:ind w:left="0" w:firstLine="0"/>
              <w:rPr>
                <w:color w:val="auto"/>
              </w:rPr>
            </w:pPr>
            <w:r>
              <w:rPr>
                <w:color w:val="auto"/>
              </w:rPr>
              <w:t>mehrere Früchte zusammengewachsen</w:t>
            </w:r>
          </w:p>
        </w:tc>
      </w:tr>
    </w:tbl>
    <w:p>
      <w:pPr>
        <w:pStyle w:val="28"/>
      </w:pPr>
    </w:p>
    <w:p>
      <w:pPr>
        <w:pStyle w:val="28"/>
      </w:pPr>
      <w:r>
        <w:t>Verwendete Werkzeuge und Quellen</w:t>
      </w:r>
    </w:p>
    <w:p>
      <w:pPr>
        <w:pStyle w:val="32"/>
      </w:pPr>
      <w:r>
        <w:t xml:space="preserve">Beyer, I. et al. (2006). </w:t>
      </w:r>
      <w:r>
        <w:rPr>
          <w:i/>
        </w:rPr>
        <w:t>natura, Grundlagen der Biologie für Schweizer Maturitätsschulen</w:t>
      </w:r>
      <w:r>
        <w:t>. Klett und Balmer Verlag.</w:t>
      </w:r>
    </w:p>
    <w:p>
      <w:pPr>
        <w:pStyle w:val="32"/>
      </w:pPr>
      <w:r>
        <w:rPr>
          <w:lang w:val="fr-CH"/>
        </w:rPr>
        <w:t xml:space="preserve">Reece, J. B. et al. </w:t>
      </w:r>
      <w:r>
        <w:t xml:space="preserve">(2006). </w:t>
      </w:r>
      <w:r>
        <w:rPr>
          <w:i/>
        </w:rPr>
        <w:t>Campbell Biologie</w:t>
      </w:r>
      <w:r>
        <w:t>. (6. Auflage). Pearson Studium.</w:t>
      </w:r>
    </w:p>
    <w:p>
      <w:pPr>
        <w:pStyle w:val="32"/>
      </w:pPr>
      <w:r>
        <w:t>http://www.biocircle.fu-berlin.de/onlineskripte/skripte/grundpraktikum/frucht/script_1.php?ag=open&amp;id=grund</w:t>
      </w:r>
    </w:p>
    <w:p>
      <w:pPr>
        <w:pStyle w:val="28"/>
        <w:rPr>
          <w:lang w:val="en-US"/>
        </w:rPr>
      </w:pPr>
    </w:p>
    <w:p>
      <w:pPr>
        <w:pStyle w:val="35"/>
      </w:pPr>
      <w:r>
        <w:rPr>
          <w:color w:val="0000FF"/>
          <w:lang w:eastAsia="de-CH"/>
        </w:rPr>
        <w:drawing>
          <wp:anchor distT="0" distB="0" distL="114300" distR="114300" simplePos="0" relativeHeight="251660288"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5"/>
      </w:pPr>
      <w:r>
        <w:t>Fremdbeiträge (z.B. Abbildungen) © der betreffenden Quellenangabe</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20F0502020204030204"/>
    <w:charset w:val="86"/>
    <w:family w:val="swiss"/>
    <w:pitch w:val="default"/>
    <w:sig w:usb0="00000000" w:usb1="00000000" w:usb2="00000001" w:usb3="00000000" w:csb0="0000019F"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 w:name="Cambria">
    <w:altName w:val="Liberation Serif"/>
    <w:panose1 w:val="02040503050406030204"/>
    <w:charset w:val="00"/>
    <w:family w:val="roman"/>
    <w:pitch w:val="default"/>
    <w:sig w:usb0="00000000" w:usb1="00000000" w:usb2="02000000" w:usb3="00000000" w:csb0="0000019F" w:csb1="00000000"/>
  </w:font>
  <w:font w:name="Liberation Serif">
    <w:panose1 w:val="02020603050405020304"/>
    <w:charset w:val="00"/>
    <w:family w:val="auto"/>
    <w:pitch w:val="default"/>
    <w:sig w:usb0="E0000AFF" w:usb1="500078FF" w:usb2="00000021" w:usb3="00000000" w:csb0="600001BF" w:csb1="DFF70000"/>
  </w:font>
  <w:font w:name="Mangal">
    <w:altName w:val="Montserrat Light"/>
    <w:panose1 w:val="00000400000000000000"/>
    <w:charset w:val="00"/>
    <w:family w:val="roman"/>
    <w:pitch w:val="default"/>
    <w:sig w:usb0="00000000" w:usb1="00000000" w:usb2="00000000" w:usb3="00000000" w:csb0="00000001" w:csb1="00000000"/>
  </w:font>
  <w:font w:name="Montserrat Light">
    <w:panose1 w:val="00000400000000000000"/>
    <w:charset w:val="00"/>
    <w:family w:val="auto"/>
    <w:pitch w:val="default"/>
    <w:sig w:usb0="2000020F" w:usb1="00000003" w:usb2="00000000" w:usb3="00000000" w:csb0="20000197"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Pflanzen</w:t>
    </w:r>
    <w:r>
      <w:tab/>
    </w:r>
    <w:r>
      <w:tab/>
    </w:r>
    <w:r>
      <w:t>Woche 45</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2"/>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0A9"/>
    <w:rsid w:val="000069F9"/>
    <w:rsid w:val="0004652C"/>
    <w:rsid w:val="000511E9"/>
    <w:rsid w:val="00060B58"/>
    <w:rsid w:val="001444DA"/>
    <w:rsid w:val="001505E8"/>
    <w:rsid w:val="001870BA"/>
    <w:rsid w:val="002151C0"/>
    <w:rsid w:val="00236B3A"/>
    <w:rsid w:val="0024201D"/>
    <w:rsid w:val="00294487"/>
    <w:rsid w:val="002C4A6F"/>
    <w:rsid w:val="002C6D02"/>
    <w:rsid w:val="002F6599"/>
    <w:rsid w:val="00313217"/>
    <w:rsid w:val="003135B7"/>
    <w:rsid w:val="0034096C"/>
    <w:rsid w:val="00370186"/>
    <w:rsid w:val="003806B8"/>
    <w:rsid w:val="00381647"/>
    <w:rsid w:val="003B5116"/>
    <w:rsid w:val="003B5E07"/>
    <w:rsid w:val="003F58F9"/>
    <w:rsid w:val="004510A9"/>
    <w:rsid w:val="004A1F2B"/>
    <w:rsid w:val="005C322F"/>
    <w:rsid w:val="00613B50"/>
    <w:rsid w:val="00635849"/>
    <w:rsid w:val="00674F02"/>
    <w:rsid w:val="00711D6E"/>
    <w:rsid w:val="00727BDA"/>
    <w:rsid w:val="00732445"/>
    <w:rsid w:val="0077460D"/>
    <w:rsid w:val="008003AB"/>
    <w:rsid w:val="00880C6D"/>
    <w:rsid w:val="0089379D"/>
    <w:rsid w:val="008944FC"/>
    <w:rsid w:val="008A2CB0"/>
    <w:rsid w:val="008B3D46"/>
    <w:rsid w:val="009542E7"/>
    <w:rsid w:val="009703C5"/>
    <w:rsid w:val="009971CF"/>
    <w:rsid w:val="009A4E9D"/>
    <w:rsid w:val="009B511B"/>
    <w:rsid w:val="009C7831"/>
    <w:rsid w:val="009D416D"/>
    <w:rsid w:val="009D7351"/>
    <w:rsid w:val="00A86ED6"/>
    <w:rsid w:val="00A93ED1"/>
    <w:rsid w:val="00B156CF"/>
    <w:rsid w:val="00B91BE8"/>
    <w:rsid w:val="00BC2273"/>
    <w:rsid w:val="00CB2758"/>
    <w:rsid w:val="00CF6885"/>
    <w:rsid w:val="00DB75D7"/>
    <w:rsid w:val="00DE0A6A"/>
    <w:rsid w:val="00DE786C"/>
    <w:rsid w:val="00E56C31"/>
    <w:rsid w:val="00E83D33"/>
    <w:rsid w:val="00EB72F2"/>
    <w:rsid w:val="00EC0DE7"/>
    <w:rsid w:val="00EC2802"/>
    <w:rsid w:val="00EC31E3"/>
    <w:rsid w:val="00EE3FC7"/>
    <w:rsid w:val="00EE74A9"/>
    <w:rsid w:val="00F41B33"/>
    <w:rsid w:val="00F91D6F"/>
    <w:rsid w:val="00FE6076"/>
    <w:rsid w:val="3C6ECE25"/>
    <w:rsid w:val="45EF6B41"/>
    <w:rsid w:val="6BC79669"/>
    <w:rsid w:val="DBDE38EE"/>
    <w:rsid w:val="EFDF6F3D"/>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2"/>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21"/>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20"/>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5"/>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6"/>
    <w:semiHidden/>
    <w:unhideWhenUsed/>
    <w:qFormat/>
    <w:uiPriority w:val="99"/>
    <w:pPr>
      <w:spacing w:after="0" w:line="240" w:lineRule="auto"/>
    </w:pPr>
    <w:rPr>
      <w:sz w:val="20"/>
      <w:szCs w:val="20"/>
    </w:rPr>
  </w:style>
  <w:style w:type="paragraph" w:styleId="11">
    <w:name w:val="footer"/>
    <w:basedOn w:val="1"/>
    <w:link w:val="24"/>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7"/>
    <w:semiHidden/>
    <w:unhideWhenUsed/>
    <w:qFormat/>
    <w:uiPriority w:val="99"/>
    <w:pPr>
      <w:spacing w:after="0" w:line="240" w:lineRule="auto"/>
    </w:pPr>
    <w:rPr>
      <w:sz w:val="20"/>
      <w:szCs w:val="20"/>
    </w:rPr>
  </w:style>
  <w:style w:type="paragraph" w:styleId="14">
    <w:name w:val="header"/>
    <w:basedOn w:val="1"/>
    <w:link w:val="23"/>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table" w:styleId="16">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19"/>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table" w:styleId="18">
    <w:name w:val="Light Shading Accent 5"/>
    <w:basedOn w:val="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character" w:customStyle="1" w:styleId="19">
    <w:name w:val="Titel Zchn"/>
    <w:basedOn w:val="5"/>
    <w:link w:val="17"/>
    <w:qFormat/>
    <w:uiPriority w:val="10"/>
    <w:rPr>
      <w:rFonts w:eastAsiaTheme="majorEastAsia" w:cstheme="minorHAnsi"/>
      <w:b/>
      <w:color w:val="E46C0A" w:themeColor="accent6" w:themeShade="BF"/>
      <w:spacing w:val="5"/>
      <w:kern w:val="28"/>
      <w:sz w:val="72"/>
      <w:szCs w:val="72"/>
      <w:lang w:eastAsia="de-CH"/>
    </w:rPr>
  </w:style>
  <w:style w:type="character" w:customStyle="1" w:styleId="20">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21">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2">
    <w:name w:val="Überschrift 1 Zchn"/>
    <w:basedOn w:val="5"/>
    <w:link w:val="2"/>
    <w:uiPriority w:val="9"/>
    <w:rPr>
      <w:rFonts w:eastAsiaTheme="majorEastAsia" w:cstheme="minorHAnsi"/>
      <w:bCs/>
      <w:color w:val="E46C0A" w:themeColor="accent6" w:themeShade="BF"/>
      <w:sz w:val="40"/>
      <w:szCs w:val="40"/>
      <w:lang w:eastAsia="de-CH"/>
    </w:rPr>
  </w:style>
  <w:style w:type="character" w:customStyle="1" w:styleId="23">
    <w:name w:val="Kopfzeile Zchn"/>
    <w:basedOn w:val="5"/>
    <w:link w:val="14"/>
    <w:qFormat/>
    <w:uiPriority w:val="99"/>
    <w:rPr>
      <w:sz w:val="18"/>
      <w:szCs w:val="18"/>
    </w:rPr>
  </w:style>
  <w:style w:type="character" w:customStyle="1" w:styleId="24">
    <w:name w:val="Fußzeile Zchn"/>
    <w:basedOn w:val="5"/>
    <w:link w:val="11"/>
    <w:qFormat/>
    <w:uiPriority w:val="99"/>
    <w:rPr>
      <w:sz w:val="18"/>
      <w:szCs w:val="18"/>
    </w:rPr>
  </w:style>
  <w:style w:type="character" w:customStyle="1" w:styleId="25">
    <w:name w:val="Sprechblasentext Zchn"/>
    <w:basedOn w:val="5"/>
    <w:link w:val="7"/>
    <w:semiHidden/>
    <w:qFormat/>
    <w:uiPriority w:val="99"/>
    <w:rPr>
      <w:rFonts w:ascii="Tahoma" w:hAnsi="Tahoma" w:cs="Tahoma"/>
      <w:sz w:val="16"/>
      <w:szCs w:val="16"/>
    </w:rPr>
  </w:style>
  <w:style w:type="character" w:customStyle="1" w:styleId="26">
    <w:name w:val="Endnotentext Zchn"/>
    <w:basedOn w:val="5"/>
    <w:link w:val="10"/>
    <w:semiHidden/>
    <w:qFormat/>
    <w:uiPriority w:val="99"/>
    <w:rPr>
      <w:sz w:val="20"/>
      <w:szCs w:val="20"/>
    </w:rPr>
  </w:style>
  <w:style w:type="character" w:customStyle="1" w:styleId="27">
    <w:name w:val="Fußnotentext Zchn"/>
    <w:basedOn w:val="5"/>
    <w:link w:val="13"/>
    <w:semiHidden/>
    <w:qFormat/>
    <w:uiPriority w:val="99"/>
    <w:rPr>
      <w:sz w:val="20"/>
      <w:szCs w:val="20"/>
    </w:rPr>
  </w:style>
  <w:style w:type="paragraph" w:customStyle="1" w:styleId="28">
    <w:name w:val="Zusatztitel"/>
    <w:basedOn w:val="4"/>
    <w:link w:val="31"/>
    <w:qFormat/>
    <w:uiPriority w:val="0"/>
    <w:pPr>
      <w:spacing w:before="0"/>
    </w:pPr>
  </w:style>
  <w:style w:type="paragraph" w:customStyle="1" w:styleId="29">
    <w:name w:val="Bibliography"/>
    <w:basedOn w:val="1"/>
    <w:next w:val="1"/>
    <w:semiHidden/>
    <w:unhideWhenUsed/>
    <w:qFormat/>
    <w:uiPriority w:val="37"/>
  </w:style>
  <w:style w:type="paragraph" w:styleId="30">
    <w:name w:val="List Paragraph"/>
    <w:basedOn w:val="1"/>
    <w:link w:val="33"/>
    <w:qFormat/>
    <w:uiPriority w:val="34"/>
    <w:pPr>
      <w:ind w:left="720"/>
      <w:contextualSpacing/>
    </w:pPr>
  </w:style>
  <w:style w:type="character" w:customStyle="1" w:styleId="31">
    <w:name w:val="Zusatztitel Zchn"/>
    <w:basedOn w:val="20"/>
    <w:link w:val="28"/>
    <w:qFormat/>
    <w:uiPriority w:val="0"/>
    <w:rPr>
      <w:rFonts w:eastAsiaTheme="majorEastAsia" w:cstheme="minorHAnsi"/>
      <w:color w:val="E46C0A" w:themeColor="accent6" w:themeShade="BF"/>
      <w:sz w:val="24"/>
      <w:szCs w:val="24"/>
    </w:rPr>
  </w:style>
  <w:style w:type="paragraph" w:customStyle="1" w:styleId="32">
    <w:name w:val="Lernziel"/>
    <w:basedOn w:val="30"/>
    <w:link w:val="34"/>
    <w:qFormat/>
    <w:uiPriority w:val="0"/>
    <w:pPr>
      <w:numPr>
        <w:ilvl w:val="0"/>
        <w:numId w:val="1"/>
      </w:numPr>
      <w:spacing w:after="0" w:line="240" w:lineRule="auto"/>
      <w:ind w:left="284" w:hanging="284"/>
    </w:pPr>
    <w:rPr>
      <w:sz w:val="18"/>
      <w:szCs w:val="18"/>
    </w:rPr>
  </w:style>
  <w:style w:type="character" w:customStyle="1" w:styleId="33">
    <w:name w:val="Listenabsatz Zchn"/>
    <w:basedOn w:val="5"/>
    <w:link w:val="30"/>
    <w:qFormat/>
    <w:uiPriority w:val="34"/>
  </w:style>
  <w:style w:type="character" w:customStyle="1" w:styleId="34">
    <w:name w:val="Lernziel Zchn"/>
    <w:basedOn w:val="33"/>
    <w:link w:val="32"/>
    <w:qFormat/>
    <w:uiPriority w:val="0"/>
    <w:rPr>
      <w:sz w:val="18"/>
      <w:szCs w:val="18"/>
    </w:rPr>
  </w:style>
  <w:style w:type="paragraph" w:customStyle="1" w:styleId="35">
    <w:name w:val="Kleiner Text"/>
    <w:basedOn w:val="32"/>
    <w:link w:val="36"/>
    <w:qFormat/>
    <w:uiPriority w:val="0"/>
    <w:pPr>
      <w:numPr>
        <w:ilvl w:val="0"/>
        <w:numId w:val="0"/>
      </w:numPr>
    </w:pPr>
    <w:rPr>
      <w:sz w:val="14"/>
      <w:szCs w:val="14"/>
    </w:rPr>
  </w:style>
  <w:style w:type="character" w:customStyle="1" w:styleId="36">
    <w:name w:val="Kleiner Text Zchn"/>
    <w:basedOn w:val="34"/>
    <w:link w:val="35"/>
    <w:qFormat/>
    <w:uiPriority w:val="0"/>
    <w:rPr>
      <w:sz w:val="14"/>
      <w:szCs w:val="14"/>
    </w:rPr>
  </w:style>
  <w:style w:type="character" w:customStyle="1" w:styleId="37">
    <w:name w:val="Computerbefehl Zchn"/>
    <w:basedOn w:val="5"/>
    <w:link w:val="38"/>
    <w:qFormat/>
    <w:locked/>
    <w:uiPriority w:val="0"/>
    <w:rPr>
      <w:b/>
      <w:color w:val="00B0F0"/>
    </w:rPr>
  </w:style>
  <w:style w:type="paragraph" w:customStyle="1" w:styleId="38">
    <w:name w:val="Computerbefehl"/>
    <w:basedOn w:val="1"/>
    <w:link w:val="37"/>
    <w:qFormat/>
    <w:uiPriority w:val="0"/>
    <w:rPr>
      <w:b/>
      <w:color w:val="00B0F0"/>
    </w:rPr>
  </w:style>
  <w:style w:type="paragraph" w:customStyle="1" w:styleId="39">
    <w:name w:val="hervorgehoben"/>
    <w:basedOn w:val="1"/>
    <w:link w:val="40"/>
    <w:qFormat/>
    <w:uiPriority w:val="0"/>
    <w:rPr>
      <w:b/>
      <w:color w:val="E46C0A" w:themeColor="accent6" w:themeShade="BF"/>
      <w:lang w:val="en-US"/>
    </w:rPr>
  </w:style>
  <w:style w:type="character" w:customStyle="1" w:styleId="40">
    <w:name w:val="hervorgehoben Zchn"/>
    <w:basedOn w:val="5"/>
    <w:link w:val="39"/>
    <w:qFormat/>
    <w:uiPriority w:val="0"/>
    <w:rPr>
      <w:b/>
      <w:color w:val="E46C0A" w:themeColor="accent6" w:themeShade="BF"/>
      <w:lang w:val="en-US"/>
    </w:rPr>
  </w:style>
  <w:style w:type="paragraph" w:customStyle="1" w:styleId="41">
    <w:name w:val="Frage"/>
    <w:basedOn w:val="1"/>
    <w:link w:val="42"/>
    <w:qFormat/>
    <w:uiPriority w:val="0"/>
    <w:rPr>
      <w:b/>
      <w:color w:val="00B050"/>
      <w:lang w:val="en-US"/>
    </w:rPr>
  </w:style>
  <w:style w:type="character" w:customStyle="1" w:styleId="42">
    <w:name w:val="Frage Zchn"/>
    <w:basedOn w:val="5"/>
    <w:link w:val="41"/>
    <w:qFormat/>
    <w:uiPriority w:val="0"/>
    <w:rPr>
      <w:b/>
      <w:color w:val="00B050"/>
      <w:lang w:val="en-US"/>
    </w:rPr>
  </w:style>
  <w:style w:type="paragraph" w:customStyle="1" w:styleId="43">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 w:type="paragraph" w:customStyle="1" w:styleId="44">
    <w:name w:val="Table Contents"/>
    <w:basedOn w:val="1"/>
    <w:qFormat/>
    <w:uiPriority w:val="0"/>
    <w:pPr>
      <w:suppressLineNumbers/>
      <w:autoSpaceDN w:val="0"/>
      <w:spacing w:after="113"/>
      <w:textAlignment w:val="baseline"/>
    </w:pPr>
    <w:rPr>
      <w:rFonts w:ascii="Cambria" w:hAnsi="Cambria" w:eastAsia="Times New Roman" w:cs="Calibri"/>
      <w:kern w:val="3"/>
      <w:sz w:val="18"/>
      <w:szCs w:val="18"/>
      <w:lang w:eastAsia="zh-CN"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hyperlink" Target="https://creativecommons.org/licenses/by/4.0/deed.en" TargetMode="Externa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5</Pages>
  <Words>576</Words>
  <Characters>3629</Characters>
  <Lines>30</Lines>
  <Paragraphs>8</Paragraphs>
  <TotalTime>21</TotalTime>
  <ScaleCrop>false</ScaleCrop>
  <LinksUpToDate>false</LinksUpToDate>
  <CharactersWithSpaces>4197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2024-11-05T11:50:00Z</dcterms:created>
  <dc:creator>Daniel Margadant</dc:creator>
  <cp:lastModifiedBy>adkoprek</cp:lastModifiedBy>
  <dcterms:modified xsi:type="dcterms:W3CDTF">2024-11-15T08:08:43Z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0x01010085BC4EA6381D104A9C9E812429499E45</vt:lpwstr>
  </property>
  <property fmtid="{D5CDD505-2E9C-101B-9397-08002B2CF9AE}" pid="3" name="KSOProductBuildVer">
    <vt:lpwstr>1033-11.1.0.11723</vt:lpwstr>
  </property>
</Properties>
</file>