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imes New Roman" w:cs="Times New Roman" w:eastAsia="Times New Roman" w:hAnsi="Times New Roman"/>
          <w:b/>
          <w:bCs/>
          <w:sz w:val="60"/>
          <w:szCs w:val="60"/>
        </w:rPr>
        <w:t xml:space="preserve">SafeAI LLM Gateway</w:t>
      </w:r>
    </w:p>
    <w:p>
      <w:pPr>
        <w:spacing w:after="40" w:before="0"/>
      </w:pPr>
      <w:r>
        <w:rPr>
          <w:rFonts w:ascii="Times New Roman" w:cs="Times New Roman" w:eastAsia="Times New Roman" w:hAnsi="Times New Roman"/>
          <w:b w:val="false"/>
          <w:bCs w:val="false"/>
          <w:sz w:val="26"/>
          <w:szCs w:val="26"/>
        </w:rPr>
        <w:t xml:space="preserve">AI Security and Governance Middleware for Regulated Industries</w:t>
      </w:r>
    </w:p>
    <w:p>
      <w:pPr>
        <w:pBdr>
          <w:bottom w:val="single" w:color="000000" w:sz="6" w:space="1"/>
        </w:pBd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Author:</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Priya Adlakha</w:t>
            </w:r>
          </w:p>
        </w:tc>
      </w:tr>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Version:</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v1.0 | June 2026</w:t>
            </w:r>
          </w:p>
        </w:tc>
      </w:tr>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Status:</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Prototype complete. Public deployment pending.</w:t>
            </w:r>
          </w:p>
        </w:tc>
      </w:tr>
      <w:tr>
        <w:tc>
          <w:tcPr>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Times New Roman" w:cs="Times New Roman" w:eastAsia="Times New Roman" w:hAnsi="Times New Roman"/>
                <w:b/>
                <w:bCs/>
                <w:sz w:val="20"/>
                <w:szCs w:val="20"/>
              </w:rPr>
              <w:t xml:space="preserve">Repository:</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github.com/priyaadlakha/SafeAI-LLM-Gateway</w:t>
            </w:r>
          </w:p>
        </w:tc>
      </w:tr>
    </w:tbl>
    <w:p>
      <w:pPr>
        <w:spacing w:after="0" w:before="240"/>
      </w:pPr>
    </w:p>
    <w:p>
      <w:pPr>
        <w:pStyle w:val="Heading1"/>
      </w:pPr>
      <w:r>
        <w:rPr>
          <w:rFonts w:ascii="Times New Roman" w:cs="Times New Roman" w:eastAsia="Times New Roman" w:hAnsi="Times New Roman"/>
          <w:b/>
          <w:bCs/>
          <w:sz w:val="26"/>
          <w:szCs w:val="26"/>
        </w:rPr>
        <w:t xml:space="preserve">Overview</w:t>
      </w:r>
    </w:p>
    <w:p>
      <w:pPr>
        <w:spacing w:after="80" w:before="80"/>
      </w:pPr>
      <w:r>
        <w:rPr>
          <w:rFonts w:ascii="Times New Roman" w:cs="Times New Roman" w:eastAsia="Times New Roman" w:hAnsi="Times New Roman"/>
          <w:sz w:val="22"/>
          <w:szCs w:val="22"/>
        </w:rPr>
        <w:t xml:space="preserve">SafeAI is a security middleware layer that intercepts every prompt before it reaches a large language model and every response before it reaches the user. It enforces data governance, threat detection, and compliance logging at every step, making LLM deployment feasible in regulated environments where uncontrolled AI use is currently blocked by legal and compliance teams.</w:t>
      </w:r>
    </w:p>
    <w:p>
      <w:pPr>
        <w:spacing w:after="80" w:before="80"/>
      </w:pPr>
      <w:r>
        <w:rPr>
          <w:rFonts w:ascii="Times New Roman" w:cs="Times New Roman" w:eastAsia="Times New Roman" w:hAnsi="Times New Roman"/>
          <w:sz w:val="22"/>
          <w:szCs w:val="22"/>
        </w:rPr>
        <w:t xml:space="preserve">The product is built for banking, insurance, and healthcare organisations where GDPR, PCI-DSS, HIPAA, and the EU AI Act create specific obligations around how AI systems process, store, and respond to data. Most organisations in these sectors want to adopt LLMs internally for compliance research, policy interpretation, and analyst support, but cannot get compliance sign-off without documented controls. SafeAI is designed to provide those controls.</w:t>
      </w:r>
    </w:p>
    <w:p>
      <w:pPr>
        <w:spacing w:after="80" w:before="80"/>
      </w:pPr>
      <w:r>
        <w:rPr>
          <w:rFonts w:ascii="Times New Roman" w:cs="Times New Roman" w:eastAsia="Times New Roman" w:hAnsi="Times New Roman"/>
          <w:sz w:val="22"/>
          <w:szCs w:val="22"/>
        </w:rPr>
        <w:t xml:space="preserve">The architecture is local-first. Every component except the final LLM call runs entirely on-premise. No customer prompt, no document, and no embedding leaves the institution's environment during the classification and retrieval phases. This is the minimum requirement for passing a data residency review at a tier-1 bank.</w:t>
      </w:r>
    </w:p>
    <w:p>
      <w:pPr>
        <w:spacing w:after="0" w:before="160"/>
      </w:pPr>
    </w:p>
    <w:p>
      <w:pPr>
        <w:pStyle w:val="Heading1"/>
      </w:pPr>
      <w:r>
        <w:rPr>
          <w:rFonts w:ascii="Times New Roman" w:cs="Times New Roman" w:eastAsia="Times New Roman" w:hAnsi="Times New Roman"/>
          <w:b/>
          <w:bCs/>
          <w:sz w:val="26"/>
          <w:szCs w:val="26"/>
        </w:rPr>
        <w:t xml:space="preserve">Core Capabilities</w:t>
      </w:r>
    </w:p>
    <w:p>
      <w:pPr>
        <w:pStyle w:val="Heading2"/>
      </w:pPr>
      <w:r>
        <w:rPr>
          <w:rFonts w:ascii="Times New Roman" w:cs="Times New Roman" w:eastAsia="Times New Roman" w:hAnsi="Times New Roman"/>
          <w:b/>
          <w:bCs/>
          <w:sz w:val="24"/>
          <w:szCs w:val="24"/>
        </w:rPr>
        <w:t xml:space="preserve">PII Detection and Redaction</w:t>
      </w:r>
    </w:p>
    <w:p>
      <w:pPr>
        <w:spacing w:after="80" w:before="80"/>
      </w:pPr>
      <w:r>
        <w:rPr>
          <w:rFonts w:ascii="Times New Roman" w:cs="Times New Roman" w:eastAsia="Times New Roman" w:hAnsi="Times New Roman"/>
          <w:sz w:val="22"/>
          <w:szCs w:val="22"/>
        </w:rPr>
        <w:t xml:space="preserve">Every incoming prompt is scanned for personally identifiable information before the text reaches any processing layer. SafeAI uses Microsoft Presidio as the detection engine, which runs locally using pre-trained NLP models. The default configuration detects over twenty entity types including names, email addresses, phone numbers, credit card numbers, IBAN codes, national insurance numbers, Aadhaar numbers, and bank account references.</w:t>
      </w:r>
    </w:p>
    <w:p>
      <w:pPr>
        <w:spacing w:after="80" w:before="80"/>
      </w:pPr>
      <w:r>
        <w:rPr>
          <w:rFonts w:ascii="Times New Roman" w:cs="Times New Roman" w:eastAsia="Times New Roman" w:hAnsi="Times New Roman"/>
          <w:sz w:val="22"/>
          <w:szCs w:val="22"/>
        </w:rPr>
        <w:t xml:space="preserve">Beyond the standard Presidio entity library, I added custom regex-based recognisers for financial identifiers that Presidio does not cover by default. These include CUSIP codes, ISIN numbers, internal account reference formats, loan identifiers, and UK National Insurance Numbers. The confidence threshold is set at 0.50, meaning an entity must score at least 50 percent confidence before it is redacted. This threshold was chosen after observing that DATE_TIME entities at higher confidence levels caused false positives on ordinary date references in compliance questions. DATE_TIME was subsequently excluded from the entity list entirely.</w:t>
      </w:r>
    </w:p>
    <w:p>
      <w:pPr>
        <w:spacing w:after="80" w:before="80"/>
      </w:pPr>
      <w:r>
        <w:rPr>
          <w:rFonts w:ascii="Times New Roman" w:cs="Times New Roman" w:eastAsia="Times New Roman" w:hAnsi="Times New Roman"/>
          <w:sz w:val="22"/>
          <w:szCs w:val="22"/>
        </w:rPr>
        <w:t xml:space="preserve">PII redaction happens before the prompt reaches the risk scorer, the RAG retrieval layer, and the LLM. The original text is preserved only in the audit log for forensic purposes.</w:t>
      </w:r>
    </w:p>
    <w:p>
      <w:pPr>
        <w:spacing w:after="0" w:before="120"/>
      </w:pPr>
    </w:p>
    <w:p>
      <w:pPr>
        <w:pStyle w:val="Heading2"/>
      </w:pPr>
      <w:r>
        <w:rPr>
          <w:rFonts w:ascii="Times New Roman" w:cs="Times New Roman" w:eastAsia="Times New Roman" w:hAnsi="Times New Roman"/>
          <w:b/>
          <w:bCs/>
          <w:sz w:val="24"/>
          <w:szCs w:val="24"/>
        </w:rPr>
        <w:t xml:space="preserve">Three-Layer Threat Detection</w:t>
      </w:r>
    </w:p>
    <w:p>
      <w:pPr>
        <w:spacing w:after="80" w:before="80"/>
      </w:pPr>
      <w:r>
        <w:rPr>
          <w:rFonts w:ascii="Times New Roman" w:cs="Times New Roman" w:eastAsia="Times New Roman" w:hAnsi="Times New Roman"/>
          <w:sz w:val="22"/>
          <w:szCs w:val="22"/>
        </w:rPr>
        <w:t xml:space="preserve">SafeAI scores every incoming prompt for adversarial intent using a three-layer classifier designed for defence-in-depth. No single layer is assumed to be complete. Each layer compensates for the gaps in the others.</w:t>
      </w:r>
    </w:p>
    <w:p>
      <w:pPr>
        <w:spacing w:after="80" w:before="80"/>
      </w:pPr>
      <w:r>
        <w:rPr>
          <w:rFonts w:ascii="Times New Roman" w:cs="Times New Roman" w:eastAsia="Times New Roman" w:hAnsi="Times New Roman"/>
          <w:sz w:val="22"/>
          <w:szCs w:val="22"/>
        </w:rPr>
        <w:t xml:space="preserve">Layer 1 is a rule-based classifier using regular expressions. It catches known attack patterns instantly with no model required. Patterns include classic prompt injection phrases, jailbreak keywords, admin mode claims, maintenance mode tricks, and context reset instructions. Any match at Layer 1 results in an immediate BLOCK at score 0.95.</w:t>
      </w:r>
    </w:p>
    <w:p>
      <w:pPr>
        <w:spacing w:after="80" w:before="80"/>
      </w:pPr>
      <w:r>
        <w:rPr>
          <w:rFonts w:ascii="Times New Roman" w:cs="Times New Roman" w:eastAsia="Times New Roman" w:hAnsi="Times New Roman"/>
          <w:sz w:val="22"/>
          <w:szCs w:val="22"/>
        </w:rPr>
        <w:t xml:space="preserve">Layer 2 is a semantic similarity scorer using the all-MiniLM-L6-v2 sentence-transformer model. It encodes the incoming prompt into a 384-dimensional vector and measures cosine similarity against a library of known attack examples. The library contains over 250 labelled attack prompts across four categories: prompt injection, jailbreaks, social engineering, and data exfiltration. A counter-signal of known safe query examples is subtracted with a weight of 0.3 to reduce false positives on legitimate compliance questions that happen to contain words like prohibited or restricted.</w:t>
      </w:r>
    </w:p>
    <w:p>
      <w:pPr>
        <w:spacing w:after="80" w:before="80"/>
      </w:pPr>
      <w:r>
        <w:rPr>
          <w:rFonts w:ascii="Times New Roman" w:cs="Times New Roman" w:eastAsia="Times New Roman" w:hAnsi="Times New Roman"/>
          <w:sz w:val="22"/>
          <w:szCs w:val="22"/>
        </w:rPr>
        <w:t xml:space="preserve">Layer 3 is an LLM judge using Groq-hosted Llama 3.1. It fires only when the semantic score falls in the borderline range between 0.05 and 0.70. The judge receives a structured prompt asking it to return a risk score, threat type, and one-sentence reasoning in JSON format. The final risk score is a weighted combination of 40 percent semantic score and 60 percent LLM judge score. The LLM judge threshold was progressively lowered from 0.40 to 0.05 during batch testing as it became clear that subtle social engineering and data exfiltration prompts were scoring between 0.10 and 0.35 and not reaching the judge under the original threshold.</w:t>
      </w:r>
    </w:p>
    <w:p>
      <w:pPr>
        <w:spacing w:after="0" w:before="120"/>
      </w:pPr>
    </w:p>
    <w:p>
      <w:pPr>
        <w:pStyle w:val="Heading2"/>
      </w:pPr>
      <w:r>
        <w:rPr>
          <w:rFonts w:ascii="Times New Roman" w:cs="Times New Roman" w:eastAsia="Times New Roman" w:hAnsi="Times New Roman"/>
          <w:b/>
          <w:bCs/>
          <w:sz w:val="24"/>
          <w:szCs w:val="24"/>
        </w:rPr>
        <w:t xml:space="preserve">RAG-Grounded Responses</w:t>
      </w:r>
    </w:p>
    <w:p>
      <w:pPr>
        <w:spacing w:after="80" w:before="80"/>
      </w:pPr>
      <w:r>
        <w:rPr>
          <w:rFonts w:ascii="Times New Roman" w:cs="Times New Roman" w:eastAsia="Times New Roman" w:hAnsi="Times New Roman"/>
          <w:sz w:val="22"/>
          <w:szCs w:val="22"/>
        </w:rPr>
        <w:t xml:space="preserve">Rather than allowing the LLM to answer from its pre-trained knowledge, every response is grounded in a vector database of institution-specific regulatory documents. The default document set includes the full text of GDPR Regulation 2016/679 from EUR-Lex, the PCI-DSS Quick Reference Guide v3.2.1, the OWASP Top 10 for LLM Applications 2023, and an internal AI usage policy template. Each document is chunked into 500-character segments with 50-character overlap and embedded using all-MiniLM-L6-v2 into a local ChromaDB instance.</w:t>
      </w:r>
    </w:p>
    <w:p>
      <w:pPr>
        <w:spacing w:after="80" w:before="80"/>
      </w:pPr>
      <w:r>
        <w:rPr>
          <w:rFonts w:ascii="Times New Roman" w:cs="Times New Roman" w:eastAsia="Times New Roman" w:hAnsi="Times New Roman"/>
          <w:sz w:val="22"/>
          <w:szCs w:val="22"/>
        </w:rPr>
        <w:t xml:space="preserve">For every prompt that passes the input firewall, the retriever performs a semantic similarity search and returns the top three most relevant chunks. These chunks are formatted into a context block and passed to the LLM with explicit instructions to answer only from the provided context. This eliminates the hallucination and response variance problems that prevent compliance sign-off for LLMs in regulated settings.</w:t>
      </w:r>
    </w:p>
    <w:p>
      <w:pPr>
        <w:spacing w:after="0" w:before="120"/>
      </w:pPr>
    </w:p>
    <w:p>
      <w:pPr>
        <w:pStyle w:val="Heading2"/>
      </w:pPr>
      <w:r>
        <w:rPr>
          <w:rFonts w:ascii="Times New Roman" w:cs="Times New Roman" w:eastAsia="Times New Roman" w:hAnsi="Times New Roman"/>
          <w:b/>
          <w:bCs/>
          <w:sz w:val="24"/>
          <w:szCs w:val="24"/>
        </w:rPr>
        <w:t xml:space="preserve">Output Firewall</w:t>
      </w:r>
    </w:p>
    <w:p>
      <w:pPr>
        <w:spacing w:after="80" w:before="80"/>
      </w:pPr>
      <w:r>
        <w:rPr>
          <w:rFonts w:ascii="Times New Roman" w:cs="Times New Roman" w:eastAsia="Times New Roman" w:hAnsi="Times New Roman"/>
          <w:sz w:val="22"/>
          <w:szCs w:val="22"/>
        </w:rPr>
        <w:t xml:space="preserve">Before the LLM response reaches the user, a second Presidio scan checks the output for PII. If any PII entity is detected in the response with confidence above 0.60, the response is replaced with a redaction notice. This prevents indirect PII extraction where an attacker attempts to reconstruct sensitive data through the model's responses rather than through direct prompts.</w:t>
      </w:r>
    </w:p>
    <w:p>
      <w:pPr>
        <w:spacing w:after="80" w:before="80"/>
      </w:pPr>
      <w:r>
        <w:rPr>
          <w:rFonts w:ascii="Times New Roman" w:cs="Times New Roman" w:eastAsia="Times New Roman" w:hAnsi="Times New Roman"/>
          <w:sz w:val="22"/>
          <w:szCs w:val="22"/>
        </w:rPr>
        <w:t xml:space="preserve">The output firewall also scores response faithfulness by measuring keyword overlap between the response and the retrieved chunks. This is a lightweight proxy for the RAGAS faithfulness metric. Scores near zero indicate the LLM may be drawing on pre-trained knowledge rather than the retrieved context.</w:t>
      </w:r>
    </w:p>
    <w:p>
      <w:pPr>
        <w:spacing w:after="0" w:before="120"/>
      </w:pPr>
    </w:p>
    <w:p>
      <w:pPr>
        <w:pStyle w:val="Heading2"/>
      </w:pPr>
      <w:r>
        <w:rPr>
          <w:rFonts w:ascii="Times New Roman" w:cs="Times New Roman" w:eastAsia="Times New Roman" w:hAnsi="Times New Roman"/>
          <w:b/>
          <w:bCs/>
          <w:sz w:val="24"/>
          <w:szCs w:val="24"/>
        </w:rPr>
        <w:t xml:space="preserve">Compliance Audit Trail</w:t>
      </w:r>
    </w:p>
    <w:p>
      <w:pPr>
        <w:spacing w:after="80" w:before="80"/>
      </w:pPr>
      <w:r>
        <w:rPr>
          <w:rFonts w:ascii="Times New Roman" w:cs="Times New Roman" w:eastAsia="Times New Roman" w:hAnsi="Times New Roman"/>
          <w:sz w:val="22"/>
          <w:szCs w:val="22"/>
        </w:rPr>
        <w:t xml:space="preserve">Every interaction is written to a local SQLite database with a full record of the original prompt, the redacted version, PII entities found, risk score, risk action, the layer that caught the threat, retrieved document sources, the LLM response, the faithfulness score, and any PII found in the output. Each row is additionally tagged with a session identifier, an IP address captured from HTTP request headers, a user agent string, and a device fingerprint computed as a SHA-256 hash of the IP and user agent combination.</w:t>
      </w:r>
    </w:p>
    <w:p>
      <w:pPr>
        <w:spacing w:after="80" w:before="80"/>
      </w:pPr>
      <w:r>
        <w:rPr>
          <w:rFonts w:ascii="Times New Roman" w:cs="Times New Roman" w:eastAsia="Times New Roman" w:hAnsi="Times New Roman"/>
          <w:sz w:val="22"/>
          <w:szCs w:val="22"/>
        </w:rPr>
        <w:t xml:space="preserve">The session fingerprint allows investigators to trace all prompts from a single device across multiple sessions even if the user changes accounts or uses a VPN. The compliance dashboard in the Streamlit interface shows a full session analysis view with turn-by-turn risk escalation visible per session.</w:t>
      </w:r>
    </w:p>
    <w:p>
      <w:pPr>
        <w:spacing w:after="80" w:before="80"/>
      </w:pPr>
      <w:r>
        <w:rPr>
          <w:rFonts w:ascii="Times New Roman" w:cs="Times New Roman" w:eastAsia="Times New Roman" w:hAnsi="Times New Roman"/>
          <w:sz w:val="22"/>
          <w:szCs w:val="22"/>
        </w:rPr>
        <w:t xml:space="preserve">When a prompt is blocked, SafeAI fires a webhook to an N8N automation workflow which formats an incident report and dispatches an email alert to the compliance team. The alert contains the session ID, the risk score, the threat type, and a truncated version of the redacted prompt. The webhook is suppressed when the TESTING environment variable is set to true so that automated test runs do not flood the compliance inbox.</w:t>
      </w:r>
    </w:p>
    <w:p>
      <w:pPr>
        <w:spacing w:after="0" w:before="160"/>
      </w:pPr>
    </w:p>
    <w:p>
      <w:pPr>
        <w:pStyle w:val="Heading1"/>
      </w:pPr>
      <w:r>
        <w:rPr>
          <w:rFonts w:ascii="Times New Roman" w:cs="Times New Roman" w:eastAsia="Times New Roman" w:hAnsi="Times New Roman"/>
          <w:b/>
          <w:bCs/>
          <w:sz w:val="26"/>
          <w:szCs w:val="26"/>
        </w:rPr>
        <w:t xml:space="preserve">Architecture Overview</w:t>
      </w:r>
    </w:p>
    <w:p>
      <w:pPr>
        <w:spacing w:after="80" w:before="80"/>
      </w:pPr>
      <w:r>
        <w:rPr>
          <w:rFonts w:ascii="Times New Roman" w:cs="Times New Roman" w:eastAsia="Times New Roman" w:hAnsi="Times New Roman"/>
          <w:sz w:val="22"/>
          <w:szCs w:val="22"/>
        </w:rPr>
        <w:t xml:space="preserve">The complete request flow through all eight layers is described below.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960"/>
        <w:gridCol w:w="6860"/>
      </w:tblGrid>
      <w:tr>
        <w:trPr>
          <w:tblHeader/>
        </w:trPr>
        <w:tc>
          <w:tcPr>
            <w:tcW w:type="dxa" w:w="54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Layer</w:t>
            </w:r>
          </w:p>
        </w:tc>
        <w:tc>
          <w:tcPr>
            <w:tcW w:type="dxa" w:w="19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Name</w:t>
            </w:r>
          </w:p>
        </w:tc>
        <w:tc>
          <w:tcPr>
            <w:tcW w:type="dxa" w:w="68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Function</w:t>
            </w:r>
          </w:p>
        </w:tc>
      </w:tr>
      <w:tr>
        <w:tc>
          <w:tcPr>
            <w:tcW w:type="dxa" w:w="5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Scrubber</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Detects and replaces PII with entity type placeholders. Uses Presidio with custom financial recognisers. Confidence threshold 0.50. DATE_TIME excluded.</w:t>
            </w:r>
          </w:p>
        </w:tc>
      </w:tr>
      <w:tr>
        <w:tc>
          <w:tcPr>
            <w:tcW w:type="dxa" w:w="5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Risk Scorer</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Three-layer classifier: rules, semantic similarity, LLM judge. Scores 0.0 to 1.0. BLOCK above 0.75. FLAG 0.50 to 0.75. PASS below 0.50.</w:t>
            </w:r>
          </w:p>
        </w:tc>
      </w:tr>
      <w:tr>
        <w:tc>
          <w:tcPr>
            <w:tcW w:type="dxa" w:w="5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Document Processor</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Extracts text from uploaded PDF, DOCX, and TXT files. PyMuPDF for PDFs. LSB variance steganography check on image uploads.</w:t>
            </w:r>
          </w:p>
        </w:tc>
      </w:tr>
      <w:tr>
        <w:tc>
          <w:tcPr>
            <w:tcW w:type="dxa" w:w="5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RAG Retrieval</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Semantic search over ChromaDB vector store. Returns top 3 chunks from regulatory document corpus. all-MiniLM-L6-v2 embeddings.</w:t>
            </w:r>
          </w:p>
        </w:tc>
      </w:tr>
      <w:tr>
        <w:tc>
          <w:tcPr>
            <w:tcW w:type="dxa" w:w="5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Agentic Router</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LangGraph agent routes between document retrieval and tool calls based on prompt intent.</w:t>
            </w:r>
          </w:p>
        </w:tc>
      </w:tr>
      <w:tr>
        <w:tc>
          <w:tcPr>
            <w:tcW w:type="dxa" w:w="5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6</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Groq-hosted Llama 3.1. Temperature 0.1. Never receives original PII. Response grounded in retrieved chunks via RAG context.</w:t>
            </w:r>
          </w:p>
        </w:tc>
      </w:tr>
      <w:tr>
        <w:tc>
          <w:tcPr>
            <w:tcW w:type="dxa" w:w="5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7</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Output Firewall</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Second Presidio PII scan on LLM response. Faithfulness scoring via keyword overlap. Response redacted if PII detected.</w:t>
            </w:r>
          </w:p>
        </w:tc>
      </w:tr>
      <w:tr>
        <w:tc>
          <w:tcPr>
            <w:tcW w:type="dxa" w:w="5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8</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Audit Log and Escalation</w:t>
            </w:r>
          </w:p>
        </w:tc>
        <w:tc>
          <w:tcPr>
            <w:tcW w:type="dxa" w:w="6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Full interaction written to SQLite with session ID, IP, user agent, device fingerprint. N8N webhook on BLOCK events.</w:t>
            </w:r>
          </w:p>
        </w:tc>
      </w:tr>
    </w:tbl>
    <w:p>
      <w:pPr>
        <w:spacing w:after="0" w:before="160"/>
      </w:pPr>
    </w:p>
    <w:p>
      <w:pPr>
        <w:pStyle w:val="Heading1"/>
      </w:pPr>
      <w:r>
        <w:rPr>
          <w:rFonts w:ascii="Times New Roman" w:cs="Times New Roman" w:eastAsia="Times New Roman" w:hAnsi="Times New Roman"/>
          <w:b/>
          <w:bCs/>
          <w:sz w:val="26"/>
          <w:szCs w:val="26"/>
        </w:rPr>
        <w:t xml:space="preserve">Performance Summary</w:t>
      </w:r>
    </w:p>
    <w:p>
      <w:pPr>
        <w:spacing w:after="80" w:before="80"/>
      </w:pPr>
      <w:r>
        <w:rPr>
          <w:rFonts w:ascii="Times New Roman" w:cs="Times New Roman" w:eastAsia="Times New Roman" w:hAnsi="Times New Roman"/>
          <w:sz w:val="22"/>
          <w:szCs w:val="22"/>
        </w:rPr>
        <w:t xml:space="preserve">Performance was established through systematic batch testing using 165 labelled prompts across seven categories. The test set includes safe policy queries, prompt injection attacks, jailbreaks, social engineering attempts, data exfiltration requests, PII-containing prompts, and edge cases.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60"/>
        <w:gridCol w:w="4000"/>
      </w:tblGrid>
      <w:tr>
        <w:trPr>
          <w:tblHeader/>
        </w:trPr>
        <w:tc>
          <w:tcPr>
            <w:tcW w:type="dxa" w:w="34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19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Result</w:t>
            </w:r>
          </w:p>
        </w:tc>
        <w:tc>
          <w:tcPr>
            <w:tcW w:type="dxa" w:w="40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Benchmark for regulated deployment</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detection recall</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100%</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95%</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Threat detection recall</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94.0%</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90%</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False positive rate</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8.3%</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Below 15% for internal tools</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False negative rate</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6.0%</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Below 10% for v1, below 1% for production</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Precision</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97.8%</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90%</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F1 score</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95.2%</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Above 90%</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Average response latency</w:t>
            </w:r>
          </w:p>
        </w:tc>
        <w:tc>
          <w:tcPr>
            <w:tcW w:type="dxa" w:w="19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3.89 seconds</w:t>
            </w:r>
          </w:p>
        </w:tc>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Below 5 seconds</w:t>
            </w:r>
          </w:p>
        </w:tc>
      </w:tr>
    </w:tbl>
    <w:p>
      <w:pPr>
        <w:spacing w:after="0" w:before="160"/>
      </w:pPr>
    </w:p>
    <w:p>
      <w:pPr>
        <w:pStyle w:val="Heading1"/>
      </w:pPr>
      <w:r>
        <w:rPr>
          <w:rFonts w:ascii="Times New Roman" w:cs="Times New Roman" w:eastAsia="Times New Roman" w:hAnsi="Times New Roman"/>
          <w:b/>
          <w:bCs/>
          <w:sz w:val="26"/>
          <w:szCs w:val="26"/>
        </w:rPr>
        <w:t xml:space="preserve">Quick Start</w:t>
      </w:r>
    </w:p>
    <w:p>
      <w:pPr>
        <w:pStyle w:val="ListParagraph"/>
        <w:numPr>
          <w:ilvl w:val="0"/>
          <w:numId w:val="2"/>
        </w:numPr>
        <w:spacing w:after="40" w:before="40"/>
      </w:pPr>
      <w:r>
        <w:rPr>
          <w:rFonts w:ascii="Times New Roman" w:cs="Times New Roman" w:eastAsia="Times New Roman" w:hAnsi="Times New Roman"/>
          <w:sz w:val="22"/>
          <w:szCs w:val="22"/>
        </w:rPr>
        <w:t xml:space="preserve">Clone the repository and navigate to the project directory</w:t>
      </w:r>
    </w:p>
    <w:p>
      <w:pPr>
        <w:pStyle w:val="ListParagraph"/>
        <w:numPr>
          <w:ilvl w:val="0"/>
          <w:numId w:val="2"/>
        </w:numPr>
        <w:spacing w:after="40" w:before="40"/>
      </w:pPr>
      <w:r>
        <w:rPr>
          <w:rFonts w:ascii="Times New Roman" w:cs="Times New Roman" w:eastAsia="Times New Roman" w:hAnsi="Times New Roman"/>
          <w:sz w:val="22"/>
          <w:szCs w:val="22"/>
        </w:rPr>
        <w:t xml:space="preserve">Create a virtual environment: python -m venv venv</w:t>
      </w:r>
    </w:p>
    <w:p>
      <w:pPr>
        <w:pStyle w:val="ListParagraph"/>
        <w:numPr>
          <w:ilvl w:val="0"/>
          <w:numId w:val="2"/>
        </w:numPr>
        <w:spacing w:after="40" w:before="40"/>
      </w:pPr>
      <w:r>
        <w:rPr>
          <w:rFonts w:ascii="Times New Roman" w:cs="Times New Roman" w:eastAsia="Times New Roman" w:hAnsi="Times New Roman"/>
          <w:sz w:val="22"/>
          <w:szCs w:val="22"/>
        </w:rPr>
        <w:t xml:space="preserve">Activate: source venv/bin/activate on Mac or Linux</w:t>
      </w:r>
    </w:p>
    <w:p>
      <w:pPr>
        <w:pStyle w:val="ListParagraph"/>
        <w:numPr>
          <w:ilvl w:val="0"/>
          <w:numId w:val="2"/>
        </w:numPr>
        <w:spacing w:after="40" w:before="40"/>
      </w:pPr>
      <w:r>
        <w:rPr>
          <w:rFonts w:ascii="Times New Roman" w:cs="Times New Roman" w:eastAsia="Times New Roman" w:hAnsi="Times New Roman"/>
          <w:sz w:val="22"/>
          <w:szCs w:val="22"/>
        </w:rPr>
        <w:t xml:space="preserve">Install dependencies: pip install -r requirements.txt</w:t>
      </w:r>
    </w:p>
    <w:p>
      <w:pPr>
        <w:pStyle w:val="ListParagraph"/>
        <w:numPr>
          <w:ilvl w:val="0"/>
          <w:numId w:val="2"/>
        </w:numPr>
        <w:spacing w:after="40" w:before="40"/>
      </w:pPr>
      <w:r>
        <w:rPr>
          <w:rFonts w:ascii="Times New Roman" w:cs="Times New Roman" w:eastAsia="Times New Roman" w:hAnsi="Times New Roman"/>
          <w:sz w:val="22"/>
          <w:szCs w:val="22"/>
        </w:rPr>
        <w:t xml:space="preserve">Copy .env.example to .env and add your Groq API key and N8N webhook URL</w:t>
      </w:r>
    </w:p>
    <w:p>
      <w:pPr>
        <w:pStyle w:val="ListParagraph"/>
        <w:numPr>
          <w:ilvl w:val="0"/>
          <w:numId w:val="2"/>
        </w:numPr>
        <w:spacing w:after="40" w:before="40"/>
      </w:pPr>
      <w:r>
        <w:rPr>
          <w:rFonts w:ascii="Times New Roman" w:cs="Times New Roman" w:eastAsia="Times New Roman" w:hAnsi="Times New Roman"/>
          <w:sz w:val="22"/>
          <w:szCs w:val="22"/>
        </w:rPr>
        <w:t xml:space="preserve">Load regulatory documents into ChromaDB: python load_documents.py</w:t>
      </w:r>
    </w:p>
    <w:p>
      <w:pPr>
        <w:pStyle w:val="ListParagraph"/>
        <w:numPr>
          <w:ilvl w:val="0"/>
          <w:numId w:val="2"/>
        </w:numPr>
        <w:spacing w:after="40" w:before="40"/>
      </w:pPr>
      <w:r>
        <w:rPr>
          <w:rFonts w:ascii="Times New Roman" w:cs="Times New Roman" w:eastAsia="Times New Roman" w:hAnsi="Times New Roman"/>
          <w:sz w:val="22"/>
          <w:szCs w:val="22"/>
        </w:rPr>
        <w:t xml:space="preserve">Start the Streamlit interface: streamlit run app.py</w:t>
      </w:r>
    </w:p>
    <w:p>
      <w:pPr>
        <w:pStyle w:val="ListParagraph"/>
        <w:numPr>
          <w:ilvl w:val="0"/>
          <w:numId w:val="2"/>
        </w:numPr>
        <w:spacing w:after="40" w:before="40"/>
      </w:pPr>
      <w:r>
        <w:rPr>
          <w:rFonts w:ascii="Times New Roman" w:cs="Times New Roman" w:eastAsia="Times New Roman" w:hAnsi="Times New Roman"/>
          <w:sz w:val="22"/>
          <w:szCs w:val="22"/>
        </w:rPr>
        <w:t xml:space="preserve">In a separate terminal, start N8N for escalation alerts: n8n start</w:t>
      </w:r>
    </w:p>
    <w:p>
      <w:pPr>
        <w:pStyle w:val="ListParagraph"/>
        <w:numPr>
          <w:ilvl w:val="0"/>
          <w:numId w:val="2"/>
        </w:numPr>
        <w:spacing w:after="40" w:before="40"/>
      </w:pPr>
      <w:r>
        <w:rPr>
          <w:rFonts w:ascii="Times New Roman" w:cs="Times New Roman" w:eastAsia="Times New Roman" w:hAnsi="Times New Roman"/>
          <w:sz w:val="22"/>
          <w:szCs w:val="22"/>
        </w:rPr>
        <w:t xml:space="preserve">Open http://localhost:8501 in your browser</w:t>
      </w:r>
    </w:p>
    <w:p>
      <w:pPr>
        <w:spacing w:after="0" w:before="160"/>
      </w:pPr>
    </w:p>
    <w:p>
      <w:pPr>
        <w:pStyle w:val="Heading1"/>
      </w:pPr>
      <w:r>
        <w:rPr>
          <w:rFonts w:ascii="Times New Roman" w:cs="Times New Roman" w:eastAsia="Times New Roman" w:hAnsi="Times New Roman"/>
          <w:b/>
          <w:bCs/>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24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Technology</w:t>
            </w:r>
          </w:p>
        </w:tc>
        <w:tc>
          <w:tcPr>
            <w:tcW w:type="dxa" w:w="41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Purpose</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detection</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Microsoft Presidio</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Named entity recognition for financial PII types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Semantic scoring</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sentence-transformers all-MiniLM-L6-v2</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384-dimensional embeddings for attack similarity</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 judge</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Groq API, Llama 3.1 8B Instant</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Reasoning about borderline prompt intent</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Vector database</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ChromaDB (local)</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Stores and searches regulatory document chunks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 framework</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LangChain, LangGraph</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RAG orchestration and agentic routing</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Document processing</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PyMuPDF, python-docx</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PDF and DOCX text extraction for uploaded files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Escalation workflow</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N8N self-hosted</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Webhook receiver and email alert dispatch</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 interface</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Streamlit</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Split-panel chat and pipeline monitor</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Audit storage</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SQLite</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Local tamper-evident interaction log</w:t>
            </w:r>
          </w:p>
        </w:tc>
      </w:tr>
    </w:tbl>
    <w:p>
      <w:pPr>
        <w:spacing w:after="0" w:before="160"/>
      </w:pPr>
    </w:p>
    <w:p>
      <w:pPr>
        <w:pStyle w:val="Heading1"/>
      </w:pPr>
      <w:r>
        <w:rPr>
          <w:rFonts w:ascii="Times New Roman" w:cs="Times New Roman" w:eastAsia="Times New Roman" w:hAnsi="Times New Roman"/>
          <w:b/>
          <w:bCs/>
          <w:sz w:val="26"/>
          <w:szCs w:val="26"/>
        </w:rPr>
        <w:t xml:space="preserve">Regulatory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Framework</w:t>
            </w:r>
          </w:p>
        </w:tc>
        <w:tc>
          <w:tcPr>
            <w:tcW w:type="dxa" w:w="65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How SafeAI addresses the requirement</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GDPR Article 32</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scrubbing before processing. Audit log with timestamps and session tracking for data subject rights requests and breach investigation.</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GDPR Article 5</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 minimisation enforced by PII redaction. Responses grounded in approved policy documents only. No LLM hallucination or data inference.</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PCI-DSS Requirement 3.4</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Credit card numbers, IBANs, sort codes, and account numbers redacted at input and output. Custom Presidio recognisers for financial identifiers.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PCI-DSS Requirement 6.3</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Adversarial input testing via 165-prompt batch test suite and weekly automated agent. Documents systematic penetration testing process.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HIPAA Security Rule 164.312</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PHI entity types included in Presidio detection. Full interaction audit trail with timestamps and user fingerprinting for HIPAA access logs.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EU AI Act Article 9</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Continuous risk management system. Weekly automated adversarial testing agent. Documented control framework with measurable improvement history.</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EU AI Act Article 10</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Training data documented in KNOWN_ATTACKS list with timestamps. Batch test validation documented in audit backups.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OWASP LLM Top 10</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Prompt injection covered by Layers 1 and 2. Sensitive information disclosure covered by PII scrubber and output firewall. Insecure output handling covered by second Presidio scan.</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FCA Model Risk Guidance</w:t>
            </w:r>
          </w:p>
        </w:tc>
        <w:tc>
          <w:tcPr>
            <w:tcW w:type="dxa" w:w="65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Audit trail and pipeline trace for explainability. Session analysis for behavioural monitoring. Faithfulness scoring for response quality.</w:t>
            </w:r>
          </w:p>
        </w:tc>
      </w:tr>
    </w:tbl>
    <w:p>
      <w:pPr>
        <w:spacing w:after="0" w:before="160"/>
      </w:pPr>
    </w:p>
    <w:p>
      <w:pPr>
        <w:pStyle w:val="Heading1"/>
      </w:pPr>
      <w:r>
        <w:rPr>
          <w:rFonts w:ascii="Times New Roman" w:cs="Times New Roman" w:eastAsia="Times New Roman" w:hAnsi="Times New Roman"/>
          <w:b/>
          <w:bCs/>
          <w:sz w:val="26"/>
          <w:szCs w:val="26"/>
        </w:rPr>
        <w:t xml:space="preserve">Known Limitations</w:t>
      </w:r>
    </w:p>
    <w:p>
      <w:pPr>
        <w:spacing w:after="80" w:before="80"/>
      </w:pPr>
      <w:r>
        <w:rPr>
          <w:rFonts w:ascii="Times New Roman" w:cs="Times New Roman" w:eastAsia="Times New Roman" w:hAnsi="Times New Roman"/>
          <w:sz w:val="22"/>
          <w:szCs w:val="22"/>
        </w:rPr>
        <w:t xml:space="preserve">The following limitations are documented for v1 and addressed in the v2 roadmap.</w:t>
      </w:r>
    </w:p>
    <w:p>
      <w:pPr>
        <w:pStyle w:val="ListParagraph"/>
        <w:numPr>
          <w:ilvl w:val="0"/>
          <w:numId w:val="3"/>
        </w:numPr>
        <w:spacing w:after="40" w:before="40"/>
      </w:pPr>
      <w:r>
        <w:rPr>
          <w:rFonts w:ascii="Times New Roman" w:cs="Times New Roman" w:eastAsia="Times New Roman" w:hAnsi="Times New Roman"/>
          <w:sz w:val="22"/>
          <w:szCs w:val="22"/>
        </w:rPr>
        <w:t xml:space="preserve">Social engineering attacks that closely resemble legitimate internal email communication cannot be reliably detected by semantic similarity alone. A message claiming that the steering committee approved data sharing this morning is structurally and semantically indistinguishable from a genuine business request. This requires user authentication, role context, and behavioural anomaly detection which are scoped for v2.</w:t>
      </w:r>
    </w:p>
    <w:p>
      <w:pPr>
        <w:pStyle w:val="ListParagraph"/>
        <w:numPr>
          <w:ilvl w:val="0"/>
          <w:numId w:val="3"/>
        </w:numPr>
        <w:spacing w:after="40" w:before="40"/>
      </w:pPr>
      <w:r>
        <w:rPr>
          <w:rFonts w:ascii="Times New Roman" w:cs="Times New Roman" w:eastAsia="Times New Roman" w:hAnsi="Times New Roman"/>
          <w:sz w:val="22"/>
          <w:szCs w:val="22"/>
        </w:rPr>
        <w:t xml:space="preserve">The sentence-transformer semantic layer has a geometric ceiling. As more attack examples are added to the training library, the semantic boundary tightens and eventually begins catching legitimate queries that happen to use similar vocabulary. The correct solution is to replace the semantic layer with a fine-tuned binary intent classifier trained on labelled attack and safe query pairs.</w:t>
      </w:r>
    </w:p>
    <w:p>
      <w:pPr>
        <w:pStyle w:val="ListParagraph"/>
        <w:numPr>
          <w:ilvl w:val="0"/>
          <w:numId w:val="3"/>
        </w:numPr>
        <w:spacing w:after="40" w:before="40"/>
      </w:pPr>
      <w:r>
        <w:rPr>
          <w:rFonts w:ascii="Times New Roman" w:cs="Times New Roman" w:eastAsia="Times New Roman" w:hAnsi="Times New Roman"/>
          <w:sz w:val="22"/>
          <w:szCs w:val="22"/>
        </w:rPr>
        <w:t xml:space="preserve">Scanned images and photographed documents cannot have text extracted because PyMuPDF only reads digital text layers. OCR via Tesseract is available on Linux production servers but not on the M1 Mac development environment due to missing system dependencies.</w:t>
      </w:r>
    </w:p>
    <w:p>
      <w:pPr>
        <w:pStyle w:val="ListParagraph"/>
        <w:numPr>
          <w:ilvl w:val="0"/>
          <w:numId w:val="3"/>
        </w:numPr>
        <w:spacing w:after="40" w:before="40"/>
      </w:pPr>
      <w:r>
        <w:rPr>
          <w:rFonts w:ascii="Times New Roman" w:cs="Times New Roman" w:eastAsia="Times New Roman" w:hAnsi="Times New Roman"/>
          <w:sz w:val="22"/>
          <w:szCs w:val="22"/>
        </w:rPr>
        <w:t xml:space="preserve">The LLM call goes to Groq which sends prompts to an external server. For fully air-gapped deployment this should be replaced with Ollama running a local Llama model. The LangChain interface is identical and the change requires modifying one environment variable.</w:t>
      </w:r>
    </w:p>
    <w:p>
      <w:pPr>
        <w:pStyle w:val="ListParagraph"/>
        <w:numPr>
          <w:ilvl w:val="0"/>
          <w:numId w:val="3"/>
        </w:numPr>
        <w:spacing w:after="40" w:before="40"/>
      </w:pPr>
      <w:r>
        <w:rPr>
          <w:rFonts w:ascii="Times New Roman" w:cs="Times New Roman" w:eastAsia="Times New Roman" w:hAnsi="Times New Roman"/>
          <w:sz w:val="22"/>
          <w:szCs w:val="22"/>
        </w:rPr>
        <w:t xml:space="preserve">There is no conversational memory across sessions. Each session begins from scratch. Repeated context-building attacks across multiple sessions cannot be detected at the current architecture level.</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o"/>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sz w:val="22"/>
      <w:szCs w:val="2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2026-06-03T00:15:25.834Z</dcterms:created>
  <dcterms:modified xsi:type="dcterms:W3CDTF">2026-06-03T00:15:25.848Z</dcterms:modified>
</cp:coreProperties>
</file>

<file path=docProps/custom.xml><?xml version="1.0" encoding="utf-8"?>
<Properties xmlns="http://schemas.openxmlformats.org/officeDocument/2006/custom-properties" xmlns:vt="http://schemas.openxmlformats.org/officeDocument/2006/docPropsVTypes"/>
</file>