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Times New Roman" w:cs="Times New Roman" w:eastAsia="Times New Roman" w:hAnsi="Times New Roman"/>
          <w:b/>
          <w:bCs/>
          <w:sz w:val="60"/>
          <w:szCs w:val="60"/>
        </w:rPr>
        <w:t xml:space="preserve">SafeAI LLM Gateway</w:t>
      </w:r>
    </w:p>
    <w:p>
      <w:pPr>
        <w:spacing w:after="20" w:before="0"/>
      </w:pPr>
      <w:r>
        <w:rPr>
          <w:rFonts w:ascii="Times New Roman" w:cs="Times New Roman" w:eastAsia="Times New Roman" w:hAnsi="Times New Roman"/>
          <w:b w:val="false"/>
          <w:bCs w:val="false"/>
          <w:sz w:val="30"/>
          <w:szCs w:val="30"/>
        </w:rPr>
        <w:t xml:space="preserve">Product Requirements Document</w:t>
      </w:r>
    </w:p>
    <w:p>
      <w:pPr>
        <w:pBdr>
          <w:bottom w:val="single" w:color="000000" w:sz="6" w:space="1"/>
        </w:pBd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Times New Roman" w:cs="Times New Roman" w:eastAsia="Times New Roman" w:hAnsi="Times New Roman"/>
                <w:b/>
                <w:bCs/>
                <w:sz w:val="20"/>
                <w:szCs w:val="20"/>
              </w:rPr>
              <w:t xml:space="preserve">Product name:</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SafeAI LLM Gateway</w:t>
            </w:r>
          </w:p>
        </w:tc>
      </w:tr>
      <w:tr>
        <w:tc>
          <w:tcPr>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Times New Roman" w:cs="Times New Roman" w:eastAsia="Times New Roman" w:hAnsi="Times New Roman"/>
                <w:b/>
                <w:bCs/>
                <w:sz w:val="20"/>
                <w:szCs w:val="20"/>
              </w:rPr>
              <w:t xml:space="preserve">Author:</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Priya Adlakha, Product Manager</w:t>
            </w:r>
          </w:p>
        </w:tc>
      </w:tr>
      <w:tr>
        <w:tc>
          <w:tcPr>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Times New Roman" w:cs="Times New Roman" w:eastAsia="Times New Roman" w:hAnsi="Times New Roman"/>
                <w:b/>
                <w:bCs/>
                <w:sz w:val="20"/>
                <w:szCs w:val="20"/>
              </w:rPr>
              <w:t xml:space="preserve">Version:</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v1.0</w:t>
            </w:r>
          </w:p>
        </w:tc>
      </w:tr>
      <w:tr>
        <w:tc>
          <w:tcPr>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Times New Roman" w:cs="Times New Roman" w:eastAsia="Times New Roman" w:hAnsi="Times New Roman"/>
                <w:b/>
                <w:bCs/>
                <w:sz w:val="20"/>
                <w:szCs w:val="20"/>
              </w:rPr>
              <w:t xml:space="preserve">Date:</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June 2026</w:t>
            </w:r>
          </w:p>
        </w:tc>
      </w:tr>
      <w:tr>
        <w:tc>
          <w:tcPr>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Times New Roman" w:cs="Times New Roman" w:eastAsia="Times New Roman" w:hAnsi="Times New Roman"/>
                <w:b/>
                <w:bCs/>
                <w:sz w:val="20"/>
                <w:szCs w:val="20"/>
              </w:rPr>
              <w:t xml:space="preserve">Status:</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Prototype complete. Deployment candidate pending final validation.</w:t>
            </w:r>
          </w:p>
        </w:tc>
      </w:tr>
      <w:tr>
        <w:tc>
          <w:tcPr>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Times New Roman" w:cs="Times New Roman" w:eastAsia="Times New Roman" w:hAnsi="Times New Roman"/>
                <w:b/>
                <w:bCs/>
                <w:sz w:val="20"/>
                <w:szCs w:val="20"/>
              </w:rPr>
              <w:t xml:space="preserve">Intended audience:</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Compliance teams, CTO, CRO, CCO, Engineering leads at regulated financial institutions.</w:t>
            </w:r>
          </w:p>
        </w:tc>
      </w:tr>
    </w:tbl>
    <w:p>
      <w:pPr>
        <w:spacing w:after="0" w:before="240"/>
      </w:pPr>
    </w:p>
    <w:p>
      <w:pPr>
        <w:pStyle w:val="Heading1"/>
      </w:pPr>
      <w:r>
        <w:rPr>
          <w:rFonts w:ascii="Times New Roman" w:cs="Times New Roman" w:eastAsia="Times New Roman" w:hAnsi="Times New Roman"/>
          <w:b/>
          <w:bCs/>
          <w:sz w:val="26"/>
          <w:szCs w:val="26"/>
        </w:rPr>
        <w:t xml:space="preserve">1. Executive Summary</w:t>
      </w:r>
    </w:p>
    <w:p>
      <w:pPr>
        <w:spacing w:after="80" w:before="80"/>
      </w:pPr>
      <w:r>
        <w:rPr>
          <w:rFonts w:ascii="Times New Roman" w:cs="Times New Roman" w:eastAsia="Times New Roman" w:hAnsi="Times New Roman"/>
          <w:sz w:val="22"/>
          <w:szCs w:val="22"/>
        </w:rPr>
        <w:t xml:space="preserve">SafeAI is an AI security and governance middleware layer built for regulated industries. It intercepts every prompt before it reaches a large language model and every response before it reaches the user, applying PII detection, threat classification, RAG-grounded response generation, and comprehensive audit logging.</w:t>
      </w:r>
    </w:p>
    <w:p>
      <w:pPr>
        <w:spacing w:after="80" w:before="80"/>
      </w:pPr>
      <w:r>
        <w:rPr>
          <w:rFonts w:ascii="Times New Roman" w:cs="Times New Roman" w:eastAsia="Times New Roman" w:hAnsi="Times New Roman"/>
          <w:sz w:val="22"/>
          <w:szCs w:val="22"/>
        </w:rPr>
        <w:t xml:space="preserve">The product solves a specific and well-documented blocker in enterprise AI adoption: regulated institutions have the motivation and technical capability to deploy LLMs internally, but cannot obtain compliance sign-off without documented evidence that the system does not expose them to data protection liability under GDPR, PCI-DSS, HIPAA, or the EU AI Act. SafeAI provides that evidence.</w:t>
      </w:r>
    </w:p>
    <w:p>
      <w:pPr>
        <w:spacing w:after="80" w:before="80"/>
      </w:pPr>
      <w:r>
        <w:rPr>
          <w:rFonts w:ascii="Times New Roman" w:cs="Times New Roman" w:eastAsia="Times New Roman" w:hAnsi="Times New Roman"/>
          <w:sz w:val="22"/>
          <w:szCs w:val="22"/>
        </w:rPr>
        <w:t xml:space="preserve">The v1 prototype achieves an F1 score of 95.2 percent on a 165-prompt adversarial test suite, a false positive rate of 8.3 percent which is within the acceptable range for internal tools at regulated institutions, and 100 percent PII detection recall. It is ready for a regulated pilot deployment with additional compensating controls in place.</w:t>
      </w:r>
    </w:p>
    <w:p>
      <w:pPr>
        <w:spacing w:after="0" w:before="160"/>
      </w:pPr>
    </w:p>
    <w:p>
      <w:pPr>
        <w:pStyle w:val="Heading1"/>
      </w:pPr>
      <w:r>
        <w:rPr>
          <w:rFonts w:ascii="Times New Roman" w:cs="Times New Roman" w:eastAsia="Times New Roman" w:hAnsi="Times New Roman"/>
          <w:b/>
          <w:bCs/>
          <w:sz w:val="26"/>
          <w:szCs w:val="26"/>
        </w:rPr>
        <w:t xml:space="preserve">2. Problem Statement</w:t>
      </w:r>
    </w:p>
    <w:p>
      <w:pPr>
        <w:pStyle w:val="Heading2"/>
      </w:pPr>
      <w:r>
        <w:rPr>
          <w:rFonts w:ascii="Times New Roman" w:cs="Times New Roman" w:eastAsia="Times New Roman" w:hAnsi="Times New Roman"/>
          <w:b/>
          <w:bCs/>
          <w:sz w:val="24"/>
          <w:szCs w:val="24"/>
        </w:rPr>
        <w:t xml:space="preserve">2.1 The AI Adoption Gap in Regulated Industries</w:t>
      </w:r>
    </w:p>
    <w:p>
      <w:pPr>
        <w:spacing w:after="80" w:before="80"/>
      </w:pPr>
      <w:r>
        <w:rPr>
          <w:rFonts w:ascii="Times New Roman" w:cs="Times New Roman" w:eastAsia="Times New Roman" w:hAnsi="Times New Roman"/>
          <w:sz w:val="22"/>
          <w:szCs w:val="22"/>
        </w:rPr>
        <w:t xml:space="preserve">LLM adoption across the financial services industry is significantly below the rate seen in less regulated sectors. The gap is not technological. The APIs are available, the use cases are clear, and the ROI is well-evidenced. The gap is governance. Compliance and legal teams at tier-1 banks cannot approve LLM deployment without documented answers to four specific questions.</w:t>
      </w:r>
    </w:p>
    <w:p>
      <w:pPr>
        <w:pStyle w:val="Heading3"/>
      </w:pPr>
      <w:r>
        <w:rPr>
          <w:rFonts w:ascii="Times New Roman" w:cs="Times New Roman" w:eastAsia="Times New Roman" w:hAnsi="Times New Roman"/>
          <w:b/>
          <w:bCs/>
          <w:sz w:val="22"/>
          <w:szCs w:val="22"/>
          <w:u w:val="single"/>
        </w:rPr>
        <w:t xml:space="preserve">Uncontrolled PII</w:t>
      </w:r>
    </w:p>
    <w:p>
      <w:pPr>
        <w:spacing w:after="80" w:before="80"/>
      </w:pPr>
      <w:r>
        <w:rPr>
          <w:rFonts w:ascii="Times New Roman" w:cs="Times New Roman" w:eastAsia="Times New Roman" w:hAnsi="Times New Roman"/>
          <w:sz w:val="22"/>
          <w:szCs w:val="22"/>
        </w:rPr>
        <w:t xml:space="preserve">When an employee pastes a customer name, account number, or credit card detail into a commercial LLM interface, that data leaves the institution's environment, is processed on external servers, and may be used in training. Under GDPR Article 32, PCI-DSS Requirement 3.4, and HIPAA Security Rule 164.312 this is a data breach risk regardless of whether any harm occurs. The employee's intent is irrelevant. The data transfer is the violation.</w:t>
      </w:r>
    </w:p>
    <w:p>
      <w:pPr>
        <w:spacing w:after="80" w:before="80"/>
      </w:pPr>
      <w:r>
        <w:rPr>
          <w:rFonts w:ascii="Times New Roman" w:cs="Times New Roman" w:eastAsia="Times New Roman" w:hAnsi="Times New Roman"/>
          <w:sz w:val="22"/>
          <w:szCs w:val="22"/>
        </w:rPr>
        <w:t xml:space="preserve">Current mitigations in most institutions consist of policy documents telling employees not to input PII. Policy documents are not technical controls. A 2023 survey by the FCA found that the majority of regulated firms relying on policy controls alone for AI governance could not demonstrate compliance with existing data protection requirements. Policy is necessary but not sufficient.</w:t>
      </w:r>
    </w:p>
    <w:p>
      <w:pPr>
        <w:pStyle w:val="Heading3"/>
      </w:pPr>
      <w:r>
        <w:rPr>
          <w:rFonts w:ascii="Times New Roman" w:cs="Times New Roman" w:eastAsia="Times New Roman" w:hAnsi="Times New Roman"/>
          <w:b/>
          <w:bCs/>
          <w:sz w:val="22"/>
          <w:szCs w:val="22"/>
          <w:u w:val="single"/>
        </w:rPr>
        <w:t xml:space="preserve">Adversarial Inputs</w:t>
      </w:r>
    </w:p>
    <w:p>
      <w:pPr>
        <w:spacing w:after="80" w:before="80"/>
      </w:pPr>
      <w:r>
        <w:rPr>
          <w:rFonts w:ascii="Times New Roman" w:cs="Times New Roman" w:eastAsia="Times New Roman" w:hAnsi="Times New Roman"/>
          <w:sz w:val="22"/>
          <w:szCs w:val="22"/>
        </w:rPr>
        <w:t xml:space="preserve">LLMs are vulnerable to a class of attacks that do not have equivalents in traditional software security. Prompt injection and jailbreaks exploit the fact that LLMs interpret instructions embedded in user inputs. An attacker who persuades the model to ignore its instructions can cause it to reveal configuration details, generate non-compliant advice, act as an unfiltered assistant, or fabricate regulatory guidance that looks authoritative.</w:t>
      </w:r>
    </w:p>
    <w:p>
      <w:pPr>
        <w:spacing w:after="80" w:before="80"/>
      </w:pPr>
      <w:r>
        <w:rPr>
          <w:rFonts w:ascii="Times New Roman" w:cs="Times New Roman" w:eastAsia="Times New Roman" w:hAnsi="Times New Roman"/>
          <w:sz w:val="22"/>
          <w:szCs w:val="22"/>
        </w:rPr>
        <w:t xml:space="preserve">Standard application security tools, network monitoring, and WAF configurations do not detect prompt injection because the attack payload is natural language. An input that reads as normal text to every existing security layer can completely compromise the LLM's behaviour. This is a gap in the security stack for every institution that has deployed an LLM without purpose-built input validation.</w:t>
      </w:r>
    </w:p>
    <w:p>
      <w:pPr>
        <w:pStyle w:val="Heading3"/>
      </w:pPr>
      <w:r>
        <w:rPr>
          <w:rFonts w:ascii="Times New Roman" w:cs="Times New Roman" w:eastAsia="Times New Roman" w:hAnsi="Times New Roman"/>
          <w:b/>
          <w:bCs/>
          <w:sz w:val="22"/>
          <w:szCs w:val="22"/>
          <w:u w:val="single"/>
        </w:rPr>
        <w:t xml:space="preserve">Non-Uniform Responses</w:t>
      </w:r>
    </w:p>
    <w:p>
      <w:pPr>
        <w:spacing w:after="80" w:before="80"/>
      </w:pPr>
      <w:r>
        <w:rPr>
          <w:rFonts w:ascii="Times New Roman" w:cs="Times New Roman" w:eastAsia="Times New Roman" w:hAnsi="Times New Roman"/>
          <w:sz w:val="22"/>
          <w:szCs w:val="22"/>
        </w:rPr>
        <w:t xml:space="preserve">LLMs produce different responses to identical questions across sessions. Temperature, context window state, and model versioning all introduce variance. For a compliance officer reviewing AI-generated regulatory guidance, response variance creates legal exposure. If the AI told Employee A that a particular data handling practice was acceptable and told Employee B that the same practice was not acceptable, and one of those employees acted on the advice, the institution has a documented inconsistency that could complicate a regulatory investigation.</w:t>
      </w:r>
    </w:p>
    <w:p>
      <w:pPr>
        <w:spacing w:after="80" w:before="80"/>
      </w:pPr>
      <w:r>
        <w:rPr>
          <w:rFonts w:ascii="Times New Roman" w:cs="Times New Roman" w:eastAsia="Times New Roman" w:hAnsi="Times New Roman"/>
          <w:sz w:val="22"/>
          <w:szCs w:val="22"/>
        </w:rPr>
        <w:t xml:space="preserve">The standard practice of RAG-grounded response generation addresses this by anchoring every response to a specific set of approved source documents. If the institution has reviewed and approved those documents, the AI's answers are effectively bounded within the institution's own regulatory interpretations.</w:t>
      </w:r>
    </w:p>
    <w:p>
      <w:pPr>
        <w:pStyle w:val="Heading3"/>
      </w:pPr>
      <w:r>
        <w:rPr>
          <w:rFonts w:ascii="Times New Roman" w:cs="Times New Roman" w:eastAsia="Times New Roman" w:hAnsi="Times New Roman"/>
          <w:b/>
          <w:bCs/>
          <w:sz w:val="22"/>
          <w:szCs w:val="22"/>
          <w:u w:val="single"/>
        </w:rPr>
        <w:t xml:space="preserve">No Audit Trail</w:t>
      </w:r>
    </w:p>
    <w:p>
      <w:pPr>
        <w:spacing w:after="80" w:before="80"/>
      </w:pPr>
      <w:r>
        <w:rPr>
          <w:rFonts w:ascii="Times New Roman" w:cs="Times New Roman" w:eastAsia="Times New Roman" w:hAnsi="Times New Roman"/>
          <w:sz w:val="22"/>
          <w:szCs w:val="22"/>
        </w:rPr>
        <w:t xml:space="preserve">Under the EU AI Act Article 9 and FCA model risk guidance, high-risk AI systems must maintain records of system behaviour, testing activities, and risk management decisions throughout their lifecycle. Most institutions that have deployed LLMs using commercial APIs have no record of what the AI told employees, when, or under what circumstances. In a regulatory investigation this gap is extremely difficult to explain.</w:t>
      </w:r>
    </w:p>
    <w:p>
      <w:pPr>
        <w:spacing w:after="80" w:before="80"/>
      </w:pPr>
      <w:r>
        <w:rPr>
          <w:rFonts w:ascii="Times New Roman" w:cs="Times New Roman" w:eastAsia="Times New Roman" w:hAnsi="Times New Roman"/>
          <w:sz w:val="22"/>
          <w:szCs w:val="22"/>
        </w:rPr>
        <w:t xml:space="preserve">The inability to produce an interaction audit trail on request is the single most common reason compliance teams block LLM deployment at tier-1 institutions. It is addressable with modest engineering effort but requires the audit trail to be designed into the architecture from the beginning rather than retrofitted.</w:t>
      </w:r>
    </w:p>
    <w:p>
      <w:pPr>
        <w:pStyle w:val="Heading2"/>
      </w:pPr>
      <w:r>
        <w:rPr>
          <w:rFonts w:ascii="Times New Roman" w:cs="Times New Roman" w:eastAsia="Times New Roman" w:hAnsi="Times New Roman"/>
          <w:b/>
          <w:bCs/>
          <w:sz w:val="24"/>
          <w:szCs w:val="24"/>
        </w:rPr>
        <w:t xml:space="preserve">2.2 Why Existing Solutions Are Insufficient</w:t>
      </w:r>
    </w:p>
    <w:p>
      <w:pPr>
        <w:spacing w:after="80" w:before="80"/>
      </w:pPr>
      <w:r>
        <w:rPr>
          <w:rFonts w:ascii="Times New Roman" w:cs="Times New Roman" w:eastAsia="Times New Roman" w:hAnsi="Times New Roman"/>
          <w:sz w:val="22"/>
          <w:szCs w:val="22"/>
        </w:rPr>
        <w:t xml:space="preserve">Several categories of existing products address parts of this problem but none addresses all four blockers.</w:t>
      </w:r>
    </w:p>
    <w:p>
      <w:pPr>
        <w:spacing w:after="80" w:before="80"/>
      </w:pPr>
      <w:r>
        <w:rPr>
          <w:rFonts w:ascii="Times New Roman" w:cs="Times New Roman" w:eastAsia="Times New Roman" w:hAnsi="Times New Roman"/>
          <w:sz w:val="22"/>
          <w:szCs w:val="22"/>
        </w:rPr>
        <w:t xml:space="preserve">Commercial API-level filters offered by LLM providers apply content moderation to outputs but do not provide input-level PII detection, institution-specific threat detection, RAG-grounded response control, or local audit trails. They are general-purpose tools not tuned for regulated industry requirements.</w:t>
      </w:r>
    </w:p>
    <w:p>
      <w:pPr>
        <w:spacing w:after="80" w:before="80"/>
      </w:pPr>
      <w:r>
        <w:rPr>
          <w:rFonts w:ascii="Times New Roman" w:cs="Times New Roman" w:eastAsia="Times New Roman" w:hAnsi="Times New Roman"/>
          <w:sz w:val="22"/>
          <w:szCs w:val="22"/>
        </w:rPr>
        <w:t xml:space="preserve">Enterprise data loss prevention systems classify and block data transfers at the network level but cannot parse natural language for PII or detect prompt injection attacks. They operate on structured data patterns not on free-text conversation turns.</w:t>
      </w:r>
    </w:p>
    <w:p>
      <w:pPr>
        <w:spacing w:after="80" w:before="80"/>
      </w:pPr>
      <w:r>
        <w:rPr>
          <w:rFonts w:ascii="Times New Roman" w:cs="Times New Roman" w:eastAsia="Times New Roman" w:hAnsi="Times New Roman"/>
          <w:sz w:val="22"/>
          <w:szCs w:val="22"/>
        </w:rPr>
        <w:t xml:space="preserve">Open-source LLM security libraries like NeMo Guardrails and Rebuff provide individual components but require significant integration engineering and do not produce the documented compliance artefacts that regulated institutions need for governance sign-off.</w:t>
      </w:r>
    </w:p>
    <w:p>
      <w:pPr>
        <w:spacing w:after="80" w:before="80"/>
      </w:pPr>
      <w:r>
        <w:rPr>
          <w:rFonts w:ascii="Times New Roman" w:cs="Times New Roman" w:eastAsia="Times New Roman" w:hAnsi="Times New Roman"/>
          <w:sz w:val="22"/>
          <w:szCs w:val="22"/>
        </w:rPr>
        <w:t xml:space="preserve">SafeAI addresses all four blockers in a single deployable system with a documented control framework and measurable performance metrics.</w:t>
      </w:r>
    </w:p>
    <w:p>
      <w:pPr>
        <w:spacing w:after="0" w:before="160"/>
      </w:pPr>
    </w:p>
    <w:p>
      <w:pPr>
        <w:pStyle w:val="Heading1"/>
      </w:pPr>
      <w:r>
        <w:rPr>
          <w:rFonts w:ascii="Times New Roman" w:cs="Times New Roman" w:eastAsia="Times New Roman" w:hAnsi="Times New Roman"/>
          <w:b/>
          <w:bCs/>
          <w:sz w:val="26"/>
          <w:szCs w:val="26"/>
        </w:rPr>
        <w:t xml:space="preserve">3. Objectives and Success Metrics</w:t>
      </w:r>
    </w:p>
    <w:p>
      <w:pPr>
        <w:pStyle w:val="Heading2"/>
      </w:pPr>
      <w:r>
        <w:rPr>
          <w:rFonts w:ascii="Times New Roman" w:cs="Times New Roman" w:eastAsia="Times New Roman" w:hAnsi="Times New Roman"/>
          <w:b/>
          <w:bCs/>
          <w:sz w:val="24"/>
          <w:szCs w:val="24"/>
        </w:rPr>
        <w:t xml:space="preserve">3.1 Primary Objectives</w:t>
      </w:r>
    </w:p>
    <w:p>
      <w:pPr>
        <w:pStyle w:val="ListParagraph"/>
        <w:numPr>
          <w:ilvl w:val="0"/>
          <w:numId w:val="2"/>
        </w:numPr>
        <w:spacing w:after="40" w:before="40"/>
      </w:pPr>
      <w:r>
        <w:rPr>
          <w:rFonts w:ascii="Times New Roman" w:cs="Times New Roman" w:eastAsia="Times New Roman" w:hAnsi="Times New Roman"/>
          <w:sz w:val="22"/>
          <w:szCs w:val="22"/>
        </w:rPr>
        <w:t xml:space="preserve">Enable regulated institutions to deploy LLMs internally with documented compliance controls covering GDPR, PCI-DSS, HIPAA, EU AI Act, and OWASP LLM Top 10.</w:t>
      </w:r>
    </w:p>
    <w:p>
      <w:pPr>
        <w:pStyle w:val="ListParagraph"/>
        <w:numPr>
          <w:ilvl w:val="0"/>
          <w:numId w:val="2"/>
        </w:numPr>
        <w:spacing w:after="40" w:before="40"/>
      </w:pPr>
      <w:r>
        <w:rPr>
          <w:rFonts w:ascii="Times New Roman" w:cs="Times New Roman" w:eastAsia="Times New Roman" w:hAnsi="Times New Roman"/>
          <w:sz w:val="22"/>
          <w:szCs w:val="22"/>
        </w:rPr>
        <w:t xml:space="preserve">Achieve PII detection recall above 95 percent so that no personally identifiable information reaches the LLM in normal operation.</w:t>
      </w:r>
    </w:p>
    <w:p>
      <w:pPr>
        <w:pStyle w:val="ListParagraph"/>
        <w:numPr>
          <w:ilvl w:val="0"/>
          <w:numId w:val="2"/>
        </w:numPr>
        <w:spacing w:after="40" w:before="40"/>
      </w:pPr>
      <w:r>
        <w:rPr>
          <w:rFonts w:ascii="Times New Roman" w:cs="Times New Roman" w:eastAsia="Times New Roman" w:hAnsi="Times New Roman"/>
          <w:sz w:val="22"/>
          <w:szCs w:val="22"/>
        </w:rPr>
        <w:t xml:space="preserve">Achieve threat detection recall above 90 percent so that most adversarial inputs are blocked before reaching the model.</w:t>
      </w:r>
    </w:p>
    <w:p>
      <w:pPr>
        <w:pStyle w:val="ListParagraph"/>
        <w:numPr>
          <w:ilvl w:val="0"/>
          <w:numId w:val="2"/>
        </w:numPr>
        <w:spacing w:after="40" w:before="40"/>
      </w:pPr>
      <w:r>
        <w:rPr>
          <w:rFonts w:ascii="Times New Roman" w:cs="Times New Roman" w:eastAsia="Times New Roman" w:hAnsi="Times New Roman"/>
          <w:sz w:val="22"/>
          <w:szCs w:val="22"/>
        </w:rPr>
        <w:t xml:space="preserve">Keep false positive rate below 15 percent so that the system does not disrupt legitimate employee workflows to the point where workarounds become the dominant behaviour.</w:t>
      </w:r>
    </w:p>
    <w:p>
      <w:pPr>
        <w:pStyle w:val="ListParagraph"/>
        <w:numPr>
          <w:ilvl w:val="0"/>
          <w:numId w:val="2"/>
        </w:numPr>
        <w:spacing w:after="40" w:before="40"/>
      </w:pPr>
      <w:r>
        <w:rPr>
          <w:rFonts w:ascii="Times New Roman" w:cs="Times New Roman" w:eastAsia="Times New Roman" w:hAnsi="Times New Roman"/>
          <w:sz w:val="22"/>
          <w:szCs w:val="22"/>
        </w:rPr>
        <w:t xml:space="preserve">Provide a complete, exportable audit trail that satisfies FCA model risk governance requirements and EU AI Act Article 9 documentation obligations.</w:t>
      </w:r>
    </w:p>
    <w:p>
      <w:pPr>
        <w:pStyle w:val="Heading2"/>
      </w:pPr>
      <w:r>
        <w:rPr>
          <w:rFonts w:ascii="Times New Roman" w:cs="Times New Roman" w:eastAsia="Times New Roman" w:hAnsi="Times New Roman"/>
          <w:b/>
          <w:bCs/>
          <w:sz w:val="24"/>
          <w:szCs w:val="24"/>
        </w:rPr>
        <w:t xml:space="preserve">3.2 Secondary Objectives</w:t>
      </w:r>
    </w:p>
    <w:p>
      <w:pPr>
        <w:pStyle w:val="ListParagraph"/>
        <w:numPr>
          <w:ilvl w:val="0"/>
          <w:numId w:val="2"/>
        </w:numPr>
        <w:spacing w:after="40" w:before="40"/>
      </w:pPr>
      <w:r>
        <w:rPr>
          <w:rFonts w:ascii="Times New Roman" w:cs="Times New Roman" w:eastAsia="Times New Roman" w:hAnsi="Times New Roman"/>
          <w:sz w:val="22"/>
          <w:szCs w:val="22"/>
        </w:rPr>
        <w:t xml:space="preserve">Demonstrate that the system is continuously improving through documented adversarial testing iterations.</w:t>
      </w:r>
    </w:p>
    <w:p>
      <w:pPr>
        <w:pStyle w:val="ListParagraph"/>
        <w:numPr>
          <w:ilvl w:val="0"/>
          <w:numId w:val="2"/>
        </w:numPr>
        <w:spacing w:after="40" w:before="40"/>
      </w:pPr>
      <w:r>
        <w:rPr>
          <w:rFonts w:ascii="Times New Roman" w:cs="Times New Roman" w:eastAsia="Times New Roman" w:hAnsi="Times New Roman"/>
          <w:sz w:val="22"/>
          <w:szCs w:val="22"/>
        </w:rPr>
        <w:t xml:space="preserve">Establish a replicable methodology for deploying safe LLMs at scale across multiple business units.</w:t>
      </w:r>
    </w:p>
    <w:p>
      <w:pPr>
        <w:pStyle w:val="ListParagraph"/>
        <w:numPr>
          <w:ilvl w:val="0"/>
          <w:numId w:val="2"/>
        </w:numPr>
        <w:spacing w:after="40" w:before="40"/>
      </w:pPr>
      <w:r>
        <w:rPr>
          <w:rFonts w:ascii="Times New Roman" w:cs="Times New Roman" w:eastAsia="Times New Roman" w:hAnsi="Times New Roman"/>
          <w:sz w:val="22"/>
          <w:szCs w:val="22"/>
        </w:rPr>
        <w:t xml:space="preserve">Produce a portfolio artefact that demonstrates end-to-end product thinking from problem framing through testing and iteration.</w:t>
      </w:r>
    </w:p>
    <w:p>
      <w:pPr>
        <w:pStyle w:val="Heading2"/>
      </w:pPr>
      <w:r>
        <w:rPr>
          <w:rFonts w:ascii="Times New Roman" w:cs="Times New Roman" w:eastAsia="Times New Roman" w:hAnsi="Times New Roman"/>
          <w:b/>
          <w:bCs/>
          <w:sz w:val="24"/>
          <w:szCs w:val="24"/>
        </w:rPr>
        <w:t xml:space="preserve">3.3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Metric</w:t>
            </w:r>
          </w:p>
        </w:tc>
        <w:tc>
          <w:tcPr>
            <w:tcW w:type="dxa" w:w="18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Current (v1)</w:t>
            </w:r>
          </w:p>
        </w:tc>
        <w:tc>
          <w:tcPr>
            <w:tcW w:type="dxa" w:w="18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Target (v1 production)</w:t>
            </w:r>
          </w:p>
        </w:tc>
        <w:tc>
          <w:tcPr>
            <w:tcW w:type="dxa" w:w="31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Target (v2 production)</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PII detection recall</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100%</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Above 95%</w:t>
            </w:r>
          </w:p>
        </w:tc>
        <w:tc>
          <w:tcPr>
            <w:tcW w:type="dxa" w:w="3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Above 99%</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Threat detection recall</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94.0%</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Above 90%</w:t>
            </w:r>
          </w:p>
        </w:tc>
        <w:tc>
          <w:tcPr>
            <w:tcW w:type="dxa" w:w="3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Above 99%</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False positive rate</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8.3%</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Below 15%</w:t>
            </w:r>
          </w:p>
        </w:tc>
        <w:tc>
          <w:tcPr>
            <w:tcW w:type="dxa" w:w="3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Below 5%</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False negative rate</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6.0%</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Below 10%</w:t>
            </w:r>
          </w:p>
        </w:tc>
        <w:tc>
          <w:tcPr>
            <w:tcW w:type="dxa" w:w="3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Below 1%</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F1 score</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95.2%</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Above 90%</w:t>
            </w:r>
          </w:p>
        </w:tc>
        <w:tc>
          <w:tcPr>
            <w:tcW w:type="dxa" w:w="3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Above 98%</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Response latency p95</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3.89 seconds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Below 5 seconds</w:t>
            </w:r>
          </w:p>
        </w:tc>
        <w:tc>
          <w:tcPr>
            <w:tcW w:type="dxa" w:w="3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Below 3 seconds</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Audit trail coverage</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100% of interactions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100% of interactions</w:t>
            </w:r>
          </w:p>
        </w:tc>
        <w:tc>
          <w:tcPr>
            <w:tcW w:type="dxa" w:w="3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100% with role attribution</w:t>
            </w:r>
          </w:p>
        </w:tc>
      </w:tr>
    </w:tbl>
    <w:p>
      <w:pPr>
        <w:spacing w:after="0" w:before="160"/>
      </w:pPr>
    </w:p>
    <w:p>
      <w:pPr>
        <w:pStyle w:val="Heading1"/>
      </w:pPr>
      <w:r>
        <w:rPr>
          <w:rFonts w:ascii="Times New Roman" w:cs="Times New Roman" w:eastAsia="Times New Roman" w:hAnsi="Times New Roman"/>
          <w:b/>
          <w:bCs/>
          <w:sz w:val="26"/>
          <w:szCs w:val="26"/>
        </w:rPr>
        <w:t xml:space="preserve">4. Target Users and Personas</w:t>
      </w:r>
    </w:p>
    <w:p>
      <w:pPr>
        <w:spacing w:after="80" w:before="80"/>
      </w:pPr>
      <w:r>
        <w:rPr>
          <w:rFonts w:ascii="Times New Roman" w:cs="Times New Roman" w:eastAsia="Times New Roman" w:hAnsi="Times New Roman"/>
          <w:sz w:val="22"/>
          <w:szCs w:val="22"/>
        </w:rPr>
        <w:t xml:space="preserve">SafeAI has four distinct user groups. Each interacts with the product differently and has different success criteria.</w:t>
      </w:r>
    </w:p>
    <w:p>
      <w:pPr>
        <w:pStyle w:val="Heading2"/>
      </w:pPr>
      <w:r>
        <w:rPr>
          <w:rFonts w:ascii="Times New Roman" w:cs="Times New Roman" w:eastAsia="Times New Roman" w:hAnsi="Times New Roman"/>
          <w:b/>
          <w:bCs/>
          <w:sz w:val="24"/>
          <w:szCs w:val="24"/>
        </w:rPr>
        <w:t xml:space="preserve">4.1 Economic Buyer: Chief Compliance Officer or Chief Risk Officer</w:t>
      </w:r>
    </w:p>
    <w:p>
      <w:pPr>
        <w:spacing w:after="80" w:before="80"/>
      </w:pPr>
      <w:r>
        <w:rPr>
          <w:rFonts w:ascii="Times New Roman" w:cs="Times New Roman" w:eastAsia="Times New Roman" w:hAnsi="Times New Roman"/>
          <w:sz w:val="22"/>
          <w:szCs w:val="22"/>
        </w:rPr>
        <w:t xml:space="preserve">The CCO or CRO is the person whose sign-off is needed for LLM deployment to proceed. They do not interact with the technical system directly. They interact with the compliance documentation and the audit reports. Their primary concern is demonstrating to the FCA, ICO, or equivalent regulator that the institution has appropriate controls in place. Their blocking question is: can you show me what the AI said to our employees and what it blocked?</w:t>
      </w:r>
    </w:p>
    <w:p>
      <w:pPr>
        <w:spacing w:after="80" w:before="80"/>
      </w:pPr>
      <w:r>
        <w:rPr>
          <w:rFonts w:ascii="Times New Roman" w:cs="Times New Roman" w:eastAsia="Times New Roman" w:hAnsi="Times New Roman"/>
          <w:sz w:val="22"/>
          <w:szCs w:val="22"/>
        </w:rPr>
        <w:t xml:space="preserve">SafeAI addresses this user through the compliance dashboard, the exportable CSV audit log, and the documented control framework in this PRD. The session analysis view with device fingerprinting directly addresses the forensic investigation use case that this buyer will ask about.</w:t>
      </w:r>
    </w:p>
    <w:p>
      <w:pPr>
        <w:pStyle w:val="Heading2"/>
      </w:pPr>
      <w:r>
        <w:rPr>
          <w:rFonts w:ascii="Times New Roman" w:cs="Times New Roman" w:eastAsia="Times New Roman" w:hAnsi="Times New Roman"/>
          <w:b/>
          <w:bCs/>
          <w:sz w:val="24"/>
          <w:szCs w:val="24"/>
        </w:rPr>
        <w:t xml:space="preserve">4.2 Technical Buyer: CTO or Head of Engineering</w:t>
      </w:r>
    </w:p>
    <w:p>
      <w:pPr>
        <w:spacing w:after="80" w:before="80"/>
      </w:pPr>
      <w:r>
        <w:rPr>
          <w:rFonts w:ascii="Times New Roman" w:cs="Times New Roman" w:eastAsia="Times New Roman" w:hAnsi="Times New Roman"/>
          <w:sz w:val="22"/>
          <w:szCs w:val="22"/>
        </w:rPr>
        <w:t xml:space="preserve">The technical buyer evaluates SafeAI on architecture, integration complexity, and operational requirements. Their primary concerns are latency impact, on-premise deployment feasibility, API design for integration with existing systems, and ongoing maintenance burden. The weekly cron-based automated improvement agent is directly relevant to this user because it addresses the maintenance concern without requiring ongoing engineering resource.</w:t>
      </w:r>
    </w:p>
    <w:p>
      <w:pPr>
        <w:spacing w:after="80" w:before="80"/>
      </w:pPr>
      <w:r>
        <w:rPr>
          <w:rFonts w:ascii="Times New Roman" w:cs="Times New Roman" w:eastAsia="Times New Roman" w:hAnsi="Times New Roman"/>
          <w:sz w:val="22"/>
          <w:szCs w:val="22"/>
        </w:rPr>
        <w:t xml:space="preserve">The local-first architecture is the primary technical differentiator for this buyer. Every component except the LLM call is deployable within the institution's existing infrastructure with no new cloud dependencies.</w:t>
      </w:r>
    </w:p>
    <w:p>
      <w:pPr>
        <w:pStyle w:val="Heading2"/>
      </w:pPr>
      <w:r>
        <w:rPr>
          <w:rFonts w:ascii="Times New Roman" w:cs="Times New Roman" w:eastAsia="Times New Roman" w:hAnsi="Times New Roman"/>
          <w:b/>
          <w:bCs/>
          <w:sz w:val="24"/>
          <w:szCs w:val="24"/>
        </w:rPr>
        <w:t xml:space="preserve">4.3 End User: Compliance Analyst or Internal Banker</w:t>
      </w:r>
    </w:p>
    <w:p>
      <w:pPr>
        <w:spacing w:after="80" w:before="80"/>
      </w:pPr>
      <w:r>
        <w:rPr>
          <w:rFonts w:ascii="Times New Roman" w:cs="Times New Roman" w:eastAsia="Times New Roman" w:hAnsi="Times New Roman"/>
          <w:sz w:val="22"/>
          <w:szCs w:val="22"/>
        </w:rPr>
        <w:t xml:space="preserve">The end user interacts with the Streamlit chat interface to ask compliance questions, interpret regulatory requirements, and draft policy-grounded communications. Their primary concern is response quality and latency. If the system is too slow, too restrictive, or too often wrong in its compliance answers, they will stop using it.</w:t>
      </w:r>
    </w:p>
    <w:p>
      <w:pPr>
        <w:spacing w:after="80" w:before="80"/>
      </w:pPr>
      <w:r>
        <w:rPr>
          <w:rFonts w:ascii="Times New Roman" w:cs="Times New Roman" w:eastAsia="Times New Roman" w:hAnsi="Times New Roman"/>
          <w:sz w:val="22"/>
          <w:szCs w:val="22"/>
        </w:rPr>
        <w:t xml:space="preserve">The false positive rate constraint of below 15 percent exists entirely because of this user. An employee who gets blocked three times while asking legitimate compliance questions will lose confidence in the system and route around it. The progressive lockout design with three stages rather than immediate termination was specifically chosen to give the end user the benefit of the doubt on first contact.</w:t>
      </w:r>
    </w:p>
    <w:p>
      <w:pPr>
        <w:spacing w:after="80" w:before="80"/>
      </w:pPr>
      <w:r>
        <w:rPr>
          <w:rFonts w:ascii="Times New Roman" w:cs="Times New Roman" w:eastAsia="Times New Roman" w:hAnsi="Times New Roman"/>
          <w:sz w:val="22"/>
          <w:szCs w:val="22"/>
        </w:rPr>
        <w:t xml:space="preserve">The RAG-grounded response design is also primarily for this user. An analyst who receives a response citing a specific GDPR article or PCI-DSS requirement can verify the source and act with confidence. An analyst who receives a general answer from LLM pre-trained knowledge has no basis for trusting the specific claim.</w:t>
      </w:r>
    </w:p>
    <w:p>
      <w:pPr>
        <w:pStyle w:val="Heading2"/>
      </w:pPr>
      <w:r>
        <w:rPr>
          <w:rFonts w:ascii="Times New Roman" w:cs="Times New Roman" w:eastAsia="Times New Roman" w:hAnsi="Times New Roman"/>
          <w:b/>
          <w:bCs/>
          <w:sz w:val="24"/>
          <w:szCs w:val="24"/>
        </w:rPr>
        <w:t xml:space="preserve">4.4 Internal Champion: Innovation Product Manager</w:t>
      </w:r>
    </w:p>
    <w:p>
      <w:pPr>
        <w:spacing w:after="80" w:before="80"/>
      </w:pPr>
      <w:r>
        <w:rPr>
          <w:rFonts w:ascii="Times New Roman" w:cs="Times New Roman" w:eastAsia="Times New Roman" w:hAnsi="Times New Roman"/>
          <w:sz w:val="22"/>
          <w:szCs w:val="22"/>
        </w:rPr>
        <w:t xml:space="preserve">Most tier-1 banks have innovation teams with a mandate to evaluate and pilot new technology. SafeAI is designed to give this person an artefact they can use to build the internal business case for LLM deployment. The documented performance metrics, regulatory mapping, and continuous improvement history are specifically intended to answer the questions an innovation PM will face from legal, compliance, and risk teams when presenting a deployment proposal.</w:t>
      </w:r>
    </w:p>
    <w:p>
      <w:pPr>
        <w:spacing w:after="0" w:before="160"/>
      </w:pPr>
    </w:p>
    <w:p>
      <w:pPr>
        <w:pStyle w:val="Heading1"/>
      </w:pPr>
      <w:r>
        <w:rPr>
          <w:rFonts w:ascii="Times New Roman" w:cs="Times New Roman" w:eastAsia="Times New Roman" w:hAnsi="Times New Roman"/>
          <w:b/>
          <w:bCs/>
          <w:sz w:val="26"/>
          <w:szCs w:val="26"/>
        </w:rPr>
        <w:t xml:space="preserve">5. Scope</w:t>
      </w:r>
    </w:p>
    <w:p>
      <w:pPr>
        <w:pStyle w:val="Heading2"/>
      </w:pPr>
      <w:r>
        <w:rPr>
          <w:rFonts w:ascii="Times New Roman" w:cs="Times New Roman" w:eastAsia="Times New Roman" w:hAnsi="Times New Roman"/>
          <w:b/>
          <w:bCs/>
          <w:sz w:val="24"/>
          <w:szCs w:val="24"/>
        </w:rPr>
        <w:t xml:space="preserve">5.1 In Scope for V1</w:t>
      </w:r>
    </w:p>
    <w:p>
      <w:pPr>
        <w:pStyle w:val="ListParagraph"/>
        <w:numPr>
          <w:ilvl w:val="0"/>
          <w:numId w:val="3"/>
        </w:numPr>
        <w:spacing w:after="40" w:before="40"/>
      </w:pPr>
      <w:r>
        <w:rPr>
          <w:rFonts w:ascii="Times New Roman" w:cs="Times New Roman" w:eastAsia="Times New Roman" w:hAnsi="Times New Roman"/>
          <w:sz w:val="22"/>
          <w:szCs w:val="22"/>
        </w:rPr>
        <w:t xml:space="preserve">Input PII detection and redaction covering 20-plus entity types with custom financial recognisers</w:t>
      </w:r>
    </w:p>
    <w:p>
      <w:pPr>
        <w:pStyle w:val="ListParagraph"/>
        <w:numPr>
          <w:ilvl w:val="0"/>
          <w:numId w:val="3"/>
        </w:numPr>
        <w:spacing w:after="40" w:before="40"/>
      </w:pPr>
      <w:r>
        <w:rPr>
          <w:rFonts w:ascii="Times New Roman" w:cs="Times New Roman" w:eastAsia="Times New Roman" w:hAnsi="Times New Roman"/>
          <w:sz w:val="22"/>
          <w:szCs w:val="22"/>
        </w:rPr>
        <w:t xml:space="preserve">Three-layer risk scoring covering prompt injection, jailbreaks, social engineering, and data exfiltration</w:t>
      </w:r>
    </w:p>
    <w:p>
      <w:pPr>
        <w:pStyle w:val="ListParagraph"/>
        <w:numPr>
          <w:ilvl w:val="0"/>
          <w:numId w:val="3"/>
        </w:numPr>
        <w:spacing w:after="40" w:before="40"/>
      </w:pPr>
      <w:r>
        <w:rPr>
          <w:rFonts w:ascii="Times New Roman" w:cs="Times New Roman" w:eastAsia="Times New Roman" w:hAnsi="Times New Roman"/>
          <w:sz w:val="22"/>
          <w:szCs w:val="22"/>
        </w:rPr>
        <w:t xml:space="preserve">RAG retrieval from a configurable set of regulatory documents stored in a local vector database</w:t>
      </w:r>
    </w:p>
    <w:p>
      <w:pPr>
        <w:pStyle w:val="ListParagraph"/>
        <w:numPr>
          <w:ilvl w:val="0"/>
          <w:numId w:val="3"/>
        </w:numPr>
        <w:spacing w:after="40" w:before="40"/>
      </w:pPr>
      <w:r>
        <w:rPr>
          <w:rFonts w:ascii="Times New Roman" w:cs="Times New Roman" w:eastAsia="Times New Roman" w:hAnsi="Times New Roman"/>
          <w:sz w:val="22"/>
          <w:szCs w:val="22"/>
        </w:rPr>
        <w:t xml:space="preserve">LLM response generation grounded in retrieved document chunks</w:t>
      </w:r>
    </w:p>
    <w:p>
      <w:pPr>
        <w:pStyle w:val="ListParagraph"/>
        <w:numPr>
          <w:ilvl w:val="0"/>
          <w:numId w:val="3"/>
        </w:numPr>
        <w:spacing w:after="40" w:before="40"/>
      </w:pPr>
      <w:r>
        <w:rPr>
          <w:rFonts w:ascii="Times New Roman" w:cs="Times New Roman" w:eastAsia="Times New Roman" w:hAnsi="Times New Roman"/>
          <w:sz w:val="22"/>
          <w:szCs w:val="22"/>
        </w:rPr>
        <w:t xml:space="preserve">Output firewall including PII detection on responses and faithfulness scoring</w:t>
      </w:r>
    </w:p>
    <w:p>
      <w:pPr>
        <w:pStyle w:val="ListParagraph"/>
        <w:numPr>
          <w:ilvl w:val="0"/>
          <w:numId w:val="3"/>
        </w:numPr>
        <w:spacing w:after="40" w:before="40"/>
      </w:pPr>
      <w:r>
        <w:rPr>
          <w:rFonts w:ascii="Times New Roman" w:cs="Times New Roman" w:eastAsia="Times New Roman" w:hAnsi="Times New Roman"/>
          <w:sz w:val="22"/>
          <w:szCs w:val="22"/>
        </w:rPr>
        <w:t xml:space="preserve">Full interaction audit log with session tracking, IP capture, and device fingerprinting</w:t>
      </w:r>
    </w:p>
    <w:p>
      <w:pPr>
        <w:pStyle w:val="ListParagraph"/>
        <w:numPr>
          <w:ilvl w:val="0"/>
          <w:numId w:val="3"/>
        </w:numPr>
        <w:spacing w:after="40" w:before="40"/>
      </w:pPr>
      <w:r>
        <w:rPr>
          <w:rFonts w:ascii="Times New Roman" w:cs="Times New Roman" w:eastAsia="Times New Roman" w:hAnsi="Times New Roman"/>
          <w:sz w:val="22"/>
          <w:szCs w:val="22"/>
        </w:rPr>
        <w:t xml:space="preserve">Real-time compliance alert dispatch on BLOCK events via N8N webhook to email</w:t>
      </w:r>
    </w:p>
    <w:p>
      <w:pPr>
        <w:pStyle w:val="ListParagraph"/>
        <w:numPr>
          <w:ilvl w:val="0"/>
          <w:numId w:val="3"/>
        </w:numPr>
        <w:spacing w:after="40" w:before="40"/>
      </w:pPr>
      <w:r>
        <w:rPr>
          <w:rFonts w:ascii="Times New Roman" w:cs="Times New Roman" w:eastAsia="Times New Roman" w:hAnsi="Times New Roman"/>
          <w:sz w:val="22"/>
          <w:szCs w:val="22"/>
        </w:rPr>
        <w:t xml:space="preserve">Streamlit chat interface with split panel showing user view and security monitor simultaneously</w:t>
      </w:r>
    </w:p>
    <w:p>
      <w:pPr>
        <w:pStyle w:val="ListParagraph"/>
        <w:numPr>
          <w:ilvl w:val="0"/>
          <w:numId w:val="3"/>
        </w:numPr>
        <w:spacing w:after="40" w:before="40"/>
      </w:pPr>
      <w:r>
        <w:rPr>
          <w:rFonts w:ascii="Times New Roman" w:cs="Times New Roman" w:eastAsia="Times New Roman" w:hAnsi="Times New Roman"/>
          <w:sz w:val="22"/>
          <w:szCs w:val="22"/>
        </w:rPr>
        <w:t xml:space="preserve">Compliance dashboard with filterable interaction table, session analysis, and CSV export</w:t>
      </w:r>
    </w:p>
    <w:p>
      <w:pPr>
        <w:pStyle w:val="ListParagraph"/>
        <w:numPr>
          <w:ilvl w:val="0"/>
          <w:numId w:val="3"/>
        </w:numPr>
        <w:spacing w:after="40" w:before="40"/>
      </w:pPr>
      <w:r>
        <w:rPr>
          <w:rFonts w:ascii="Times New Roman" w:cs="Times New Roman" w:eastAsia="Times New Roman" w:hAnsi="Times New Roman"/>
          <w:sz w:val="22"/>
          <w:szCs w:val="22"/>
        </w:rPr>
        <w:t xml:space="preserve">Progressive session lockout after three blocks with session ID cited in the lockout message</w:t>
      </w:r>
    </w:p>
    <w:p>
      <w:pPr>
        <w:pStyle w:val="ListParagraph"/>
        <w:numPr>
          <w:ilvl w:val="0"/>
          <w:numId w:val="3"/>
        </w:numPr>
        <w:spacing w:after="40" w:before="40"/>
      </w:pPr>
      <w:r>
        <w:rPr>
          <w:rFonts w:ascii="Times New Roman" w:cs="Times New Roman" w:eastAsia="Times New Roman" w:hAnsi="Times New Roman"/>
          <w:sz w:val="22"/>
          <w:szCs w:val="22"/>
        </w:rPr>
        <w:t xml:space="preserve">Weekly automated adversarial improvement agent with before and after benchmark reporting</w:t>
      </w:r>
    </w:p>
    <w:p>
      <w:pPr>
        <w:pStyle w:val="ListParagraph"/>
        <w:numPr>
          <w:ilvl w:val="0"/>
          <w:numId w:val="3"/>
        </w:numPr>
        <w:spacing w:after="40" w:before="40"/>
      </w:pPr>
      <w:r>
        <w:rPr>
          <w:rFonts w:ascii="Times New Roman" w:cs="Times New Roman" w:eastAsia="Times New Roman" w:hAnsi="Times New Roman"/>
          <w:sz w:val="22"/>
          <w:szCs w:val="22"/>
        </w:rPr>
        <w:t xml:space="preserve">Document upload handling for PDF, DOCX, and TXT with steganography detection on images</w:t>
      </w:r>
    </w:p>
    <w:p>
      <w:pPr>
        <w:pStyle w:val="Heading2"/>
      </w:pPr>
      <w:r>
        <w:rPr>
          <w:rFonts w:ascii="Times New Roman" w:cs="Times New Roman" w:eastAsia="Times New Roman" w:hAnsi="Times New Roman"/>
          <w:b/>
          <w:bCs/>
          <w:sz w:val="24"/>
          <w:szCs w:val="24"/>
        </w:rPr>
        <w:t xml:space="preserve">5.2 Out of Scope for V1</w:t>
      </w:r>
    </w:p>
    <w:p>
      <w:pPr>
        <w:pStyle w:val="ListParagraph"/>
        <w:numPr>
          <w:ilvl w:val="0"/>
          <w:numId w:val="3"/>
        </w:numPr>
        <w:spacing w:after="40" w:before="40"/>
      </w:pPr>
      <w:r>
        <w:rPr>
          <w:rFonts w:ascii="Times New Roman" w:cs="Times New Roman" w:eastAsia="Times New Roman" w:hAnsi="Times New Roman"/>
          <w:sz w:val="22"/>
          <w:szCs w:val="22"/>
        </w:rPr>
        <w:t xml:space="preserve">User authentication or SSO integration. Sessions are tracked by device fingerprint only. No organisational role context is available.</w:t>
      </w:r>
    </w:p>
    <w:p>
      <w:pPr>
        <w:pStyle w:val="ListParagraph"/>
        <w:numPr>
          <w:ilvl w:val="0"/>
          <w:numId w:val="3"/>
        </w:numPr>
        <w:spacing w:after="40" w:before="40"/>
      </w:pPr>
      <w:r>
        <w:rPr>
          <w:rFonts w:ascii="Times New Roman" w:cs="Times New Roman" w:eastAsia="Times New Roman" w:hAnsi="Times New Roman"/>
          <w:sz w:val="22"/>
          <w:szCs w:val="22"/>
        </w:rPr>
        <w:t xml:space="preserve">Customer-facing deployment. The product is designed for internal employee use only.</w:t>
      </w:r>
    </w:p>
    <w:p>
      <w:pPr>
        <w:pStyle w:val="ListParagraph"/>
        <w:numPr>
          <w:ilvl w:val="0"/>
          <w:numId w:val="3"/>
        </w:numPr>
        <w:spacing w:after="40" w:before="40"/>
      </w:pPr>
      <w:r>
        <w:rPr>
          <w:rFonts w:ascii="Times New Roman" w:cs="Times New Roman" w:eastAsia="Times New Roman" w:hAnsi="Times New Roman"/>
          <w:sz w:val="22"/>
          <w:szCs w:val="22"/>
        </w:rPr>
        <w:t xml:space="preserve">Fine-tuning or retraining of the LLM. The LLM is used as-is from Groq.</w:t>
      </w:r>
    </w:p>
    <w:p>
      <w:pPr>
        <w:pStyle w:val="ListParagraph"/>
        <w:numPr>
          <w:ilvl w:val="0"/>
          <w:numId w:val="3"/>
        </w:numPr>
        <w:spacing w:after="40" w:before="40"/>
      </w:pPr>
      <w:r>
        <w:rPr>
          <w:rFonts w:ascii="Times New Roman" w:cs="Times New Roman" w:eastAsia="Times New Roman" w:hAnsi="Times New Roman"/>
          <w:sz w:val="22"/>
          <w:szCs w:val="22"/>
        </w:rPr>
        <w:t xml:space="preserve">Integration with existing fraud detection systems, SIEM, or SOAR platforms.</w:t>
      </w:r>
    </w:p>
    <w:p>
      <w:pPr>
        <w:pStyle w:val="ListParagraph"/>
        <w:numPr>
          <w:ilvl w:val="0"/>
          <w:numId w:val="3"/>
        </w:numPr>
        <w:spacing w:after="40" w:before="40"/>
      </w:pPr>
      <w:r>
        <w:rPr>
          <w:rFonts w:ascii="Times New Roman" w:cs="Times New Roman" w:eastAsia="Times New Roman" w:hAnsi="Times New Roman"/>
          <w:sz w:val="22"/>
          <w:szCs w:val="22"/>
        </w:rPr>
        <w:t xml:space="preserve">Multi-tenant deployment. The v1 architecture is single-institution.</w:t>
      </w:r>
    </w:p>
    <w:p>
      <w:pPr>
        <w:pStyle w:val="ListParagraph"/>
        <w:numPr>
          <w:ilvl w:val="0"/>
          <w:numId w:val="3"/>
        </w:numPr>
        <w:spacing w:after="40" w:before="40"/>
      </w:pPr>
      <w:r>
        <w:rPr>
          <w:rFonts w:ascii="Times New Roman" w:cs="Times New Roman" w:eastAsia="Times New Roman" w:hAnsi="Times New Roman"/>
          <w:sz w:val="22"/>
          <w:szCs w:val="22"/>
        </w:rPr>
        <w:t xml:space="preserve">Cloud-hosted SaaS model. This is an on-premise prototype.</w:t>
      </w:r>
    </w:p>
    <w:p>
      <w:pPr>
        <w:pStyle w:val="ListParagraph"/>
        <w:numPr>
          <w:ilvl w:val="0"/>
          <w:numId w:val="3"/>
        </w:numPr>
        <w:spacing w:after="40" w:before="40"/>
      </w:pPr>
      <w:r>
        <w:rPr>
          <w:rFonts w:ascii="Times New Roman" w:cs="Times New Roman" w:eastAsia="Times New Roman" w:hAnsi="Times New Roman"/>
          <w:sz w:val="22"/>
          <w:szCs w:val="22"/>
        </w:rPr>
        <w:t xml:space="preserve">Multi-language support beyond English. Presidio is configured for English only.</w:t>
      </w:r>
    </w:p>
    <w:p>
      <w:pPr>
        <w:pStyle w:val="ListParagraph"/>
        <w:numPr>
          <w:ilvl w:val="0"/>
          <w:numId w:val="3"/>
        </w:numPr>
        <w:spacing w:after="40" w:before="40"/>
      </w:pPr>
      <w:r>
        <w:rPr>
          <w:rFonts w:ascii="Times New Roman" w:cs="Times New Roman" w:eastAsia="Times New Roman" w:hAnsi="Times New Roman"/>
          <w:sz w:val="22"/>
          <w:szCs w:val="22"/>
        </w:rPr>
        <w:t xml:space="preserve">OCR on scanned images. Requires Tesseract which is unavailable on M1 Mac.</w:t>
      </w:r>
    </w:p>
    <w:p>
      <w:pPr>
        <w:spacing w:after="0" w:before="160"/>
      </w:pPr>
    </w:p>
    <w:p>
      <w:pPr>
        <w:pStyle w:val="Heading1"/>
      </w:pPr>
      <w:r>
        <w:rPr>
          <w:rFonts w:ascii="Times New Roman" w:cs="Times New Roman" w:eastAsia="Times New Roman" w:hAnsi="Times New Roman"/>
          <w:b/>
          <w:bCs/>
          <w:sz w:val="26"/>
          <w:szCs w:val="26"/>
        </w:rPr>
        <w:t xml:space="preserve">6. Functional Requirements</w:t>
      </w:r>
    </w:p>
    <w:p>
      <w:pPr>
        <w:pStyle w:val="Heading2"/>
      </w:pPr>
      <w:r>
        <w:rPr>
          <w:rFonts w:ascii="Times New Roman" w:cs="Times New Roman" w:eastAsia="Times New Roman" w:hAnsi="Times New Roman"/>
          <w:b/>
          <w:bCs/>
          <w:sz w:val="24"/>
          <w:szCs w:val="24"/>
        </w:rPr>
        <w:t xml:space="preserve">6.1 Input Processing</w:t>
      </w:r>
    </w:p>
    <w:p>
      <w:pPr>
        <w:spacing w:after="80" w:before="80"/>
      </w:pPr>
      <w:r>
        <w:rPr>
          <w:rFonts w:ascii="Times New Roman" w:cs="Times New Roman" w:eastAsia="Times New Roman" w:hAnsi="Times New Roman"/>
          <w:sz w:val="22"/>
          <w:szCs w:val="22"/>
        </w:rPr>
        <w:t xml:space="preserve">Every incoming prompt must pass through PII scrubbing before any other processing. The scrubbed text must be used for all downstream processing. The original text must be preserved only in the audit log.</w:t>
      </w:r>
    </w:p>
    <w:p>
      <w:pPr>
        <w:spacing w:after="80" w:before="80"/>
      </w:pPr>
      <w:r>
        <w:rPr>
          <w:rFonts w:ascii="Times New Roman" w:cs="Times New Roman" w:eastAsia="Times New Roman" w:hAnsi="Times New Roman"/>
          <w:sz w:val="22"/>
          <w:szCs w:val="22"/>
        </w:rPr>
        <w:t xml:space="preserve">The PII scrubber must support at minimum: PERSON, EMAIL_ADDRESS, PHONE_NUMBER, CREDIT_CARD, IBAN_CODE, US_SSN, US_BANK_NUMBER, UK_NHS, and custom financial identifiers including ACCOUNT_REF, LOAN_ID, CUSIP, ISIN, UK_NIN, and AADHAAR.</w:t>
      </w:r>
    </w:p>
    <w:p>
      <w:pPr>
        <w:spacing w:after="80" w:before="80"/>
      </w:pPr>
      <w:r>
        <w:rPr>
          <w:rFonts w:ascii="Times New Roman" w:cs="Times New Roman" w:eastAsia="Times New Roman" w:hAnsi="Times New Roman"/>
          <w:sz w:val="22"/>
          <w:szCs w:val="22"/>
        </w:rPr>
        <w:t xml:space="preserve">Detected PII entities must be replaced with typed placeholders in the format ENTITY_TYPE such that the sentence remains syntactically coherent for downstream processing.</w:t>
      </w:r>
    </w:p>
    <w:p>
      <w:pPr>
        <w:pStyle w:val="Heading2"/>
      </w:pPr>
      <w:r>
        <w:rPr>
          <w:rFonts w:ascii="Times New Roman" w:cs="Times New Roman" w:eastAsia="Times New Roman" w:hAnsi="Times New Roman"/>
          <w:b/>
          <w:bCs/>
          <w:sz w:val="24"/>
          <w:szCs w:val="24"/>
        </w:rPr>
        <w:t xml:space="preserve">6.2 Threat Classification</w:t>
      </w:r>
    </w:p>
    <w:p>
      <w:pPr>
        <w:spacing w:after="80" w:before="80"/>
      </w:pPr>
      <w:r>
        <w:rPr>
          <w:rFonts w:ascii="Times New Roman" w:cs="Times New Roman" w:eastAsia="Times New Roman" w:hAnsi="Times New Roman"/>
          <w:sz w:val="22"/>
          <w:szCs w:val="22"/>
        </w:rPr>
        <w:t xml:space="preserve">Every prompt must receive a risk score between 0.0 and 1.0. Prompts scoring above 0.75 must be blocked and must not proceed to the LLM. Prompts scoring between 0.50 and 0.75 must be flagged with a warning but may proceed to the LLM. Prompts scoring below 0.50 pass without restriction.</w:t>
      </w:r>
    </w:p>
    <w:p>
      <w:pPr>
        <w:spacing w:after="80" w:before="80"/>
      </w:pPr>
      <w:r>
        <w:rPr>
          <w:rFonts w:ascii="Times New Roman" w:cs="Times New Roman" w:eastAsia="Times New Roman" w:hAnsi="Times New Roman"/>
          <w:sz w:val="22"/>
          <w:szCs w:val="22"/>
        </w:rPr>
        <w:t xml:space="preserve">The risk scorer must operate in three layers as described in the architecture section. The final score must be a weighted combination of semantic score and LLM judge score for borderline prompts.</w:t>
      </w:r>
    </w:p>
    <w:p>
      <w:pPr>
        <w:spacing w:after="80" w:before="80"/>
      </w:pPr>
      <w:r>
        <w:rPr>
          <w:rFonts w:ascii="Times New Roman" w:cs="Times New Roman" w:eastAsia="Times New Roman" w:hAnsi="Times New Roman"/>
          <w:sz w:val="22"/>
          <w:szCs w:val="22"/>
        </w:rPr>
        <w:t xml:space="preserve">The KNOWN_ATTACKS library must be versioned and must be updated through the automated improvement agent on a configurable schedule. The agent must use a separate held-out benchmark for performance measurement that is never contaminated by training additions.</w:t>
      </w:r>
    </w:p>
    <w:p>
      <w:pPr>
        <w:pStyle w:val="Heading2"/>
      </w:pPr>
      <w:r>
        <w:rPr>
          <w:rFonts w:ascii="Times New Roman" w:cs="Times New Roman" w:eastAsia="Times New Roman" w:hAnsi="Times New Roman"/>
          <w:b/>
          <w:bCs/>
          <w:sz w:val="24"/>
          <w:szCs w:val="24"/>
        </w:rPr>
        <w:t xml:space="preserve">6.3 Response Generation</w:t>
      </w:r>
    </w:p>
    <w:p>
      <w:pPr>
        <w:spacing w:after="80" w:before="80"/>
      </w:pPr>
      <w:r>
        <w:rPr>
          <w:rFonts w:ascii="Times New Roman" w:cs="Times New Roman" w:eastAsia="Times New Roman" w:hAnsi="Times New Roman"/>
          <w:sz w:val="22"/>
          <w:szCs w:val="22"/>
        </w:rPr>
        <w:t xml:space="preserve">LLM responses must be grounded in retrieved document chunks. The response prompt must instruct the LLM to answer only from the provided context. If insufficient context is available the LLM must say so explicitly rather than falling back to pre-trained knowledge.</w:t>
      </w:r>
    </w:p>
    <w:p>
      <w:pPr>
        <w:spacing w:after="80" w:before="80"/>
      </w:pPr>
      <w:r>
        <w:rPr>
          <w:rFonts w:ascii="Times New Roman" w:cs="Times New Roman" w:eastAsia="Times New Roman" w:hAnsi="Times New Roman"/>
          <w:sz w:val="22"/>
          <w:szCs w:val="22"/>
        </w:rPr>
        <w:t xml:space="preserve">Retrieved document sources must be tracked and stored in the audit log so that any response can be traced to its source documents.</w:t>
      </w:r>
    </w:p>
    <w:p>
      <w:pPr>
        <w:pStyle w:val="Heading2"/>
      </w:pPr>
      <w:r>
        <w:rPr>
          <w:rFonts w:ascii="Times New Roman" w:cs="Times New Roman" w:eastAsia="Times New Roman" w:hAnsi="Times New Roman"/>
          <w:b/>
          <w:bCs/>
          <w:sz w:val="24"/>
          <w:szCs w:val="24"/>
        </w:rPr>
        <w:t xml:space="preserve">6.4 Output Control</w:t>
      </w:r>
    </w:p>
    <w:p>
      <w:pPr>
        <w:spacing w:after="80" w:before="80"/>
      </w:pPr>
      <w:r>
        <w:rPr>
          <w:rFonts w:ascii="Times New Roman" w:cs="Times New Roman" w:eastAsia="Times New Roman" w:hAnsi="Times New Roman"/>
          <w:sz w:val="22"/>
          <w:szCs w:val="22"/>
        </w:rPr>
        <w:t xml:space="preserve">Every LLM response must be scanned for PII before delivery to the user. If PII is detected the response must be replaced with a redaction notice. The original response containing PII must be recorded in the audit log.</w:t>
      </w:r>
    </w:p>
    <w:p>
      <w:pPr>
        <w:spacing w:after="80" w:before="80"/>
      </w:pPr>
      <w:r>
        <w:rPr>
          <w:rFonts w:ascii="Times New Roman" w:cs="Times New Roman" w:eastAsia="Times New Roman" w:hAnsi="Times New Roman"/>
          <w:sz w:val="22"/>
          <w:szCs w:val="22"/>
        </w:rPr>
        <w:t xml:space="preserve">Faithfulness scores must be computed and stored in the audit log for every response.</w:t>
      </w:r>
    </w:p>
    <w:p>
      <w:pPr>
        <w:pStyle w:val="Heading2"/>
      </w:pPr>
      <w:r>
        <w:rPr>
          <w:rFonts w:ascii="Times New Roman" w:cs="Times New Roman" w:eastAsia="Times New Roman" w:hAnsi="Times New Roman"/>
          <w:b/>
          <w:bCs/>
          <w:sz w:val="24"/>
          <w:szCs w:val="24"/>
        </w:rPr>
        <w:t xml:space="preserve">6.5 Audit and Escalation</w:t>
      </w:r>
    </w:p>
    <w:p>
      <w:pPr>
        <w:spacing w:after="80" w:before="80"/>
      </w:pPr>
      <w:r>
        <w:rPr>
          <w:rFonts w:ascii="Times New Roman" w:cs="Times New Roman" w:eastAsia="Times New Roman" w:hAnsi="Times New Roman"/>
          <w:sz w:val="22"/>
          <w:szCs w:val="22"/>
        </w:rPr>
        <w:t xml:space="preserve">Every interaction must be written to the audit log regardless of the risk action outcome. The audit log schema must include at minimum: timestamp, session_id, ip_address, user_agent, fingerprint, turn_number, original_text, redacted_text, entities_found, redaction_count, risk_score, risk_action, risk_reason, sources, faithfulness, response.</w:t>
      </w:r>
    </w:p>
    <w:p>
      <w:pPr>
        <w:spacing w:after="80" w:before="80"/>
      </w:pPr>
      <w:r>
        <w:rPr>
          <w:rFonts w:ascii="Times New Roman" w:cs="Times New Roman" w:eastAsia="Times New Roman" w:hAnsi="Times New Roman"/>
          <w:sz w:val="22"/>
          <w:szCs w:val="22"/>
        </w:rPr>
        <w:t xml:space="preserve">Blocked prompts must fire a webhook to the configured escalation endpoint within 3 seconds. The webhook payload must include the session ID, risk score, threat type, and a truncated version of the redacted prompt. The webhook must be suppressed when the TESTING environment variable is set to true.</w:t>
      </w:r>
    </w:p>
    <w:p>
      <w:pPr>
        <w:spacing w:after="0" w:before="160"/>
      </w:pPr>
    </w:p>
    <w:p>
      <w:pPr>
        <w:pStyle w:val="Heading1"/>
      </w:pPr>
      <w:r>
        <w:rPr>
          <w:rFonts w:ascii="Times New Roman" w:cs="Times New Roman" w:eastAsia="Times New Roman" w:hAnsi="Times New Roman"/>
          <w:b/>
          <w:bCs/>
          <w:sz w:val="26"/>
          <w:szCs w:val="26"/>
        </w:rPr>
        <w:t xml:space="preserve">7. Non-Functional Requirements</w:t>
      </w:r>
    </w:p>
    <w:p>
      <w:pPr>
        <w:pStyle w:val="Heading2"/>
      </w:pPr>
      <w:r>
        <w:rPr>
          <w:rFonts w:ascii="Times New Roman" w:cs="Times New Roman" w:eastAsia="Times New Roman" w:hAnsi="Times New Roman"/>
          <w:b/>
          <w:bCs/>
          <w:sz w:val="24"/>
          <w:szCs w:val="24"/>
        </w:rPr>
        <w:t xml:space="preserve">7.1 Performance</w:t>
      </w:r>
    </w:p>
    <w:p>
      <w:pPr>
        <w:spacing w:after="80" w:before="80"/>
      </w:pPr>
      <w:r>
        <w:rPr>
          <w:rFonts w:ascii="Times New Roman" w:cs="Times New Roman" w:eastAsia="Times New Roman" w:hAnsi="Times New Roman"/>
          <w:sz w:val="22"/>
          <w:szCs w:val="22"/>
        </w:rPr>
        <w:t xml:space="preserve">Average response latency must not exceed 5 seconds at the 95th percentile for prompts that reach the LLM. Prompts blocked at Layer 1 must resolve in under 100 milliseconds. The latency budget is allocated as follows: PII scrubber under 200 milliseconds, risk scorer layers 1 and 2 under 300 milliseconds, LLM judge 2 to 3 seconds when triggered, RAG retrieval under 500 milliseconds, LLM response 1 to 2 seconds, output firewall under 200 milliseconds.</w:t>
      </w:r>
    </w:p>
    <w:p>
      <w:pPr>
        <w:pStyle w:val="Heading2"/>
      </w:pPr>
      <w:r>
        <w:rPr>
          <w:rFonts w:ascii="Times New Roman" w:cs="Times New Roman" w:eastAsia="Times New Roman" w:hAnsi="Times New Roman"/>
          <w:b/>
          <w:bCs/>
          <w:sz w:val="24"/>
          <w:szCs w:val="24"/>
        </w:rPr>
        <w:t xml:space="preserve">7.2 Reliability</w:t>
      </w:r>
    </w:p>
    <w:p>
      <w:pPr>
        <w:spacing w:after="80" w:before="80"/>
      </w:pPr>
      <w:r>
        <w:rPr>
          <w:rFonts w:ascii="Times New Roman" w:cs="Times New Roman" w:eastAsia="Times New Roman" w:hAnsi="Times New Roman"/>
          <w:sz w:val="22"/>
          <w:szCs w:val="22"/>
        </w:rPr>
        <w:t xml:space="preserve">If the LLM judge fails due to API unavailability or rate limiting, the system must fall back to the semantic score alone for the final risk decision. If the Groq API is unavailable, the system must block all prompts that would normally proceed to the LLM and return a service unavailable message to the user. The audit log must record the API failure as the reason for the block.</w:t>
      </w:r>
    </w:p>
    <w:p>
      <w:pPr>
        <w:pStyle w:val="Heading2"/>
      </w:pPr>
      <w:r>
        <w:rPr>
          <w:rFonts w:ascii="Times New Roman" w:cs="Times New Roman" w:eastAsia="Times New Roman" w:hAnsi="Times New Roman"/>
          <w:b/>
          <w:bCs/>
          <w:sz w:val="24"/>
          <w:szCs w:val="24"/>
        </w:rPr>
        <w:t xml:space="preserve">7.3 Data Residency</w:t>
      </w:r>
    </w:p>
    <w:p>
      <w:pPr>
        <w:spacing w:after="80" w:before="80"/>
      </w:pPr>
      <w:r>
        <w:rPr>
          <w:rFonts w:ascii="Times New Roman" w:cs="Times New Roman" w:eastAsia="Times New Roman" w:hAnsi="Times New Roman"/>
          <w:sz w:val="22"/>
          <w:szCs w:val="22"/>
        </w:rPr>
        <w:t xml:space="preserve">All processing except the LLM inference call must remain within the institution's local environment. No prompt text, document content, or embedding vector may be transmitted to external services except through the configured LLM API endpoint. For full air-gap compliance this endpoint must be replaceable with a local Ollama instance.</w:t>
      </w:r>
    </w:p>
    <w:p>
      <w:pPr>
        <w:pStyle w:val="Heading2"/>
      </w:pPr>
      <w:r>
        <w:rPr>
          <w:rFonts w:ascii="Times New Roman" w:cs="Times New Roman" w:eastAsia="Times New Roman" w:hAnsi="Times New Roman"/>
          <w:b/>
          <w:bCs/>
          <w:sz w:val="24"/>
          <w:szCs w:val="24"/>
        </w:rPr>
        <w:t xml:space="preserve">7.4 Maintainability</w:t>
      </w:r>
    </w:p>
    <w:p>
      <w:pPr>
        <w:spacing w:after="80" w:before="80"/>
      </w:pPr>
      <w:r>
        <w:rPr>
          <w:rFonts w:ascii="Times New Roman" w:cs="Times New Roman" w:eastAsia="Times New Roman" w:hAnsi="Times New Roman"/>
          <w:sz w:val="22"/>
          <w:szCs w:val="22"/>
        </w:rPr>
        <w:t xml:space="preserve">The KNOWN_ATTACKS training library must be human-readable and auditable. Every entry must be traceable to the test run that identified it as a gap. The automated improvement agent must produce a timestamped JSON report for every iteration run. Backup copies of risk_scorer.py must be created before every agent run.</w:t>
      </w:r>
    </w:p>
    <w:p>
      <w:pPr>
        <w:spacing w:after="0" w:before="160"/>
      </w:pPr>
    </w:p>
    <w:p>
      <w:pPr>
        <w:pStyle w:val="Heading1"/>
      </w:pPr>
      <w:r>
        <w:rPr>
          <w:rFonts w:ascii="Times New Roman" w:cs="Times New Roman" w:eastAsia="Times New Roman" w:hAnsi="Times New Roman"/>
          <w:b/>
          <w:bCs/>
          <w:sz w:val="26"/>
          <w:szCs w:val="26"/>
        </w:rPr>
        <w:t xml:space="preserve">8. Build Status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rPr>
          <w:tblHeader/>
        </w:trPr>
        <w:tc>
          <w:tcPr>
            <w:tcW w:type="dxa" w:w="8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22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Component</w:t>
            </w:r>
          </w:p>
        </w:tc>
        <w:tc>
          <w:tcPr>
            <w:tcW w:type="dxa" w:w="43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Summary of what was built</w:t>
            </w:r>
          </w:p>
        </w:tc>
        <w:tc>
          <w:tcPr>
            <w:tcW w:type="dxa" w:w="20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Status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PII Scrubber</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Presidio with custom recognisers for financial identifiers. DATE_TIME removed from entity list. Confidence threshold 0.50. 11 of 11 unit tests passing.</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Complete</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Risk Scorer</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Three-layer classifier with rule engine, sentence-transformer semantic similarity, and LLM judge. KNOWN_ATTACKS library of 250-plus examples. Safe counter-signal. LLM judge threshold 0.05.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Complete</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RAG Retrieval</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ChromaDB local vector store. GDPR, PCI-DSS, OWASP, and internal policy loaded. 500-character chunks with 50-character overlap. Text cleaning for EUR-Lex PDF formatting. 5 of 5 retrieval tests passing.</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Complete</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Full Pipeline</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All eight layers connected end to end. BLOCK webhook firing correctly. 6 of 8 test prompts answered correctly and 2 blocked correctly.</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Complete</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5</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Document Processor</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PyMuPDF PDF extraction. python-docx for DOCX. TXT direct read. LSB variance steganography check. 4 of 4 tests passing.</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Complete</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6</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N8N Escalation</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N8N v2.8.4 via nvm Node 20. Webhook triggers on BLOCK. Code node formats incident data. SMTP Send Email node. alert_body field name resolves reserved word conflict. Tested with real blocked events.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Complete</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7</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Streamlit Interface</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Split-panel layout. Left panel user chat with progressive lockout after three blocks. Right panel live pipeline monitor in ascending chronological order. Compliance dashboard with session analysis, filter, and CSV export. Session tracking with fingerprint and IP.</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Complete</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8</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Deployment</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GitHub repository initialised. First commit staged. Streamlit Community Cloud deployment pending.</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In progress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9</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Automated Improvement Agent</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agent_improve.py with train/test separated benchmarking. Weekly cron job. Four-phase iteration loop. Before/after delta reporting. Iteration history JSON log.</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Complete</w:t>
            </w:r>
          </w:p>
        </w:tc>
      </w:tr>
    </w:tbl>
    <w:p>
      <w:pPr>
        <w:spacing w:after="0" w:before="160"/>
      </w:pPr>
    </w:p>
    <w:p>
      <w:pPr>
        <w:pStyle w:val="Heading1"/>
      </w:pPr>
      <w:r>
        <w:rPr>
          <w:rFonts w:ascii="Times New Roman" w:cs="Times New Roman" w:eastAsia="Times New Roman" w:hAnsi="Times New Roman"/>
          <w:b/>
          <w:bCs/>
          <w:sz w:val="26"/>
          <w:szCs w:val="26"/>
        </w:rPr>
        <w:t xml:space="preserve">9. Regulatory Mapping</w:t>
      </w:r>
    </w:p>
    <w:p>
      <w:pPr>
        <w:spacing w:after="80" w:before="80"/>
      </w:pPr>
      <w:r>
        <w:rPr>
          <w:rFonts w:ascii="Times New Roman" w:cs="Times New Roman" w:eastAsia="Times New Roman" w:hAnsi="Times New Roman"/>
          <w:sz w:val="22"/>
          <w:szCs w:val="22"/>
        </w:rPr>
        <w:t xml:space="preserve">The following table maps each regulatory requirement to the specific SafeAI control that addresses it and the evidence available to demonstrate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rPr>
          <w:tblHeader/>
        </w:trPr>
        <w:tc>
          <w:tcPr>
            <w:tcW w:type="dxa" w:w="26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Framework and article</w:t>
            </w:r>
          </w:p>
        </w:tc>
        <w:tc>
          <w:tcPr>
            <w:tcW w:type="dxa" w:w="27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SafeAI control</w:t>
            </w:r>
          </w:p>
        </w:tc>
        <w:tc>
          <w:tcPr>
            <w:tcW w:type="dxa" w:w="40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Compliance evidence</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GDPR Article 32 - technical and organisational measures</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PII scrubber, audit log, local-first architecture</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Audit log entries. Presidio entity detection reports. No external PII transfer except LLM endpoint.</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GDPR Article 5(1)(b) - purpose limitation</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RAG-grounded responses limited to approved policy documents</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Source citations in audit log. ChromaDB document list.</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GDPR Article 5(1)(c) - data minimisation</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PII redaction before processing</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Redaction count per interaction in audit log.</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PCI-DSS Requirement 3.4 - render PAN unreadable</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Custom CREDIT_CARD and IBAN_CODE recognisers</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100 percent PII recall on card number test prompts.</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PCI-DSS Requirement 6.3 - vulnerability identification and testing</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Weekly adversarial improvement agent. 165-prompt batch test suite.</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Agent iteration reports in audit/backups. Test suite results with timestamps.</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EU AI Act Article 9 - risk management system</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Continuous improvement agent. Documented test methodology. Backup history.</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Iteration history JSON. Timestamped risk_scorer backups. Batch test results.</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EU AI Act Article 10 - data governance</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KNOWN_ATTACKS list with addition timestamps. Batch test labelled dataset.</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risk_scorer.py file history. test_batch.py labelled prompt set.</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OWASP LLM01 - prompt injection</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Layer 1 regex rules. Layer 2 semantic similarity. Layer 3 LLM judge.</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94 percent recall on 90 prompt injection test cases.</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OWASP LLM02 - insecure output handling</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Output firewall Presidio scan. Response redaction on PII detection.</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100 percent output PII detection on test cases.</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OWASP LLM06 - sensitive information disclosure</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PII scrubber before LLM. Output firewall after LLM.</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Combined input and output protection documented in audit log.</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FCA model risk governance</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Full audit trail. Faithfulness scoring. Session analysis.</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Exportable compliance CSV. Session analysis dashboard view.</w:t>
            </w:r>
          </w:p>
        </w:tc>
      </w:tr>
    </w:tbl>
    <w:p>
      <w:pPr>
        <w:spacing w:after="0" w:before="160"/>
      </w:pPr>
    </w:p>
    <w:p>
      <w:pPr>
        <w:pStyle w:val="Heading1"/>
      </w:pPr>
      <w:r>
        <w:rPr>
          <w:rFonts w:ascii="Times New Roman" w:cs="Times New Roman" w:eastAsia="Times New Roman" w:hAnsi="Times New Roman"/>
          <w:b/>
          <w:bCs/>
          <w:sz w:val="26"/>
          <w:szCs w:val="26"/>
        </w:rPr>
        <w:t xml:space="preserve">10. Known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960"/>
        <w:gridCol w:w="2000"/>
      </w:tblGrid>
      <w:tr>
        <w:trPr>
          <w:tblHeader/>
        </w:trPr>
        <w:tc>
          <w:tcPr>
            <w:tcW w:type="dxa" w:w="22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Risk</w:t>
            </w:r>
          </w:p>
        </w:tc>
        <w:tc>
          <w:tcPr>
            <w:tcW w:type="dxa" w:w="12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Severity</w:t>
            </w:r>
          </w:p>
        </w:tc>
        <w:tc>
          <w:tcPr>
            <w:tcW w:type="dxa" w:w="39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20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Current mitigation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Social engineering FNR</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3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Authority impersonation attacks that closely resemble legitimate internal requests cannot be reliably detected without user role context.</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LLM judge with explicit social engineering examples in prompt. 6.0 percent residual FNR. V2 fix: SSO integration.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Semantic ceiling</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3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Adding more attack examples to KNOWN_ATTACKS improves recall but tightens the detection boundary, potentially increasing false positives.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Safe counter-signal. Monitored via batch test FPR. V2 fix: fine-tuned intent classifier.</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Groq API availability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Medium</w:t>
            </w:r>
          </w:p>
        </w:tc>
        <w:tc>
          <w:tcPr>
            <w:tcW w:type="dxa" w:w="3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Groq service outage would degrade response capability for all prompts that require LLM judge or LLM response.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Failsafe: block all prompts if LLM unavailable. V2 fix: Ollama local fallback.</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Agent overfitting</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Medium</w:t>
            </w:r>
          </w:p>
        </w:tc>
        <w:tc>
          <w:tcPr>
            <w:tcW w:type="dxa" w:w="3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Automated improvement agent can overfit the detection system to specific test phrases if held-out benchmark is contaminated.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Strict train/test separation. Held-out benchmark never added to KNOWN_ATTACKS. Monitored via FPR.</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Scanned document extraction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Low</w:t>
            </w:r>
          </w:p>
        </w:tc>
        <w:tc>
          <w:tcPr>
            <w:tcW w:type="dxa" w:w="3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Scanned PDFs and photographed documents return empty text extraction, allowing potential attack payloads in image content.</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LSB steganography check on images. OCR on roadmap for v2.</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Session tracking evasion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Low</w:t>
            </w:r>
          </w:p>
        </w:tc>
        <w:tc>
          <w:tcPr>
            <w:tcW w:type="dxa" w:w="3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Users can evade device fingerprinting by using incognito mode, VPN, or different browsers.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Fingerprint is a supplementary signal not the primary control. Session ID is the primary tracker. IP preserved in audit log.</w:t>
            </w:r>
          </w:p>
        </w:tc>
      </w:tr>
    </w:tbl>
    <w:p>
      <w:pPr>
        <w:spacing w:after="0" w:before="160"/>
      </w:pPr>
    </w:p>
    <w:p>
      <w:pPr>
        <w:pStyle w:val="Heading1"/>
      </w:pPr>
      <w:r>
        <w:rPr>
          <w:rFonts w:ascii="Times New Roman" w:cs="Times New Roman" w:eastAsia="Times New Roman" w:hAnsi="Times New Roman"/>
          <w:b/>
          <w:bCs/>
          <w:sz w:val="26"/>
          <w:szCs w:val="26"/>
        </w:rPr>
        <w:t xml:space="preserve">11.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560"/>
        <w:gridCol w:w="1200"/>
        <w:gridCol w:w="800"/>
      </w:tblGrid>
      <w:tr>
        <w:trPr>
          <w:tblHeader/>
        </w:trPr>
        <w:tc>
          <w:tcPr>
            <w:tcW w:type="dxa" w:w="4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
            </w:r>
          </w:p>
        </w:tc>
        <w:tc>
          <w:tcPr>
            <w:tcW w:type="dxa" w:w="24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Action</w:t>
            </w:r>
          </w:p>
        </w:tc>
        <w:tc>
          <w:tcPr>
            <w:tcW w:type="dxa" w:w="45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Detail</w:t>
            </w:r>
          </w:p>
        </w:tc>
        <w:tc>
          <w:tcPr>
            <w:tcW w:type="dxa" w:w="12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Priority</w:t>
            </w:r>
          </w:p>
        </w:tc>
        <w:tc>
          <w:tcPr>
            <w:tcW w:type="dxa" w:w="8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Owner</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Deploy to Streamlit Cloud</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Push to GitHub. Connect Streamlit Community Cloud. Configure environment secrets. Obtain public portfolio URL for demo purposes.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Finalise risk_scorer.py state</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Restore best validated state from backup at F1 95.2 percent. Commit as tagged release v1.0 on GitHub.</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Approach design partners</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Identify 2 to 3 fintech institutions for a regulated pilot. Use Streamlit Cloud URL for the initial demo. Gather compliance team feedback on the control framework document.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Switch to Ollama</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Replace Groq API with Ollama local deployment. Modify GROQ_MODEL to OLLAMA_MODEL environment variable. One-line LangChain change. Eliminates last external data transfer.</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Medium</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TBD</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5</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Fine-tune intent classifier</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Collect 1000 labelled examples from KNOWN_ATTACKS and batch test dataset. Fine-tune DistilBERT binary classifier. Replace semantic layer. Target recall above 98 percent.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Medium</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TBD</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6</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SSO integration</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SAML or OAuth 2.0 integration with institution identity provider. Add user role to audit log. Adjust social engineering threshold based on role context.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Medium</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TBD</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7</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RAGAS faithfulness scoring</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Replace keyword overlap faithfulness proxy with full RAGAS semantic faithfulness scorer. More accurate reflection of response grounding.</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Low</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TBD</w:t>
            </w:r>
          </w:p>
        </w:tc>
      </w:tr>
    </w:tbl>
    <w:p>
      <w:pPr>
        <w:spacing w:after="0" w:before="240"/>
      </w:pPr>
    </w:p>
    <w:p>
      <w:pPr>
        <w:pStyle w:val="Heading1"/>
      </w:pPr>
      <w:r>
        <w:rPr>
          <w:rFonts w:ascii="Times New Roman" w:cs="Times New Roman" w:eastAsia="Times New Roman" w:hAnsi="Times New Roman"/>
          <w:b/>
          <w:bCs/>
          <w:sz w:val="26"/>
          <w:szCs w:val="26"/>
        </w:rPr>
        <w:t xml:space="preserve">12. Glossary</w:t>
      </w:r>
    </w:p>
    <w:p>
      <w:pPr>
        <w:spacing w:after="80" w:before="80"/>
      </w:pPr>
      <w:r>
        <w:rPr>
          <w:rFonts w:ascii="Times New Roman" w:cs="Times New Roman" w:eastAsia="Times New Roman" w:hAnsi="Times New Roman"/>
          <w:sz w:val="22"/>
          <w:szCs w:val="22"/>
        </w:rPr>
        <w:t xml:space="preserve">The following terms are used throughout this document and in the SafeAI codebase.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Term</w:t>
            </w:r>
          </w:p>
        </w:tc>
        <w:tc>
          <w:tcPr>
            <w:tcW w:type="dxa" w:w="69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Definition</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ChromaDB</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An open-source vector database that stores text as high-dimensional embeddings and supports similarity search. Used in SafeAI to store and retrieve regulatory document chunks.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Cosine similarity</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measure of similarity between two vectors calculated as the cosine of the angle between them. Used in the semantic scoring layer to measure how similar an incoming prompt is to known attack examples.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Data exfiltration</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An attack that attempts to extract sensitive or proprietary data from a system by disguising the request as a legitimate business query. Examples include requesting bulk customer records framed as a migration or audit task.</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Defence-in-depth</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security principle that applies multiple independent layers of controls so that the failure of any single layer does not result in a complete security breach.</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Device fingerprint</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non-reversible identifier computed from a combination of the user's IP address and user agent string using SHA-256 hashing. Allows consistent identification of a device across sessions without storing personally identifiable information.</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Embedding</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numerical representation of a piece of text as a vector in high-dimensional space. Semantically similar texts produce embeddings that are geometrically close to each other.</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EU AI Act</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The European Union Artificial Intelligence Act, which came into force in 2024. It classifies AI systems by risk level and imposes obligations on providers and deployers of high-risk AI systems including those used in financial services.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F1 score</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The harmonic mean of precision and recall, calculated as 2 times precision times recall divided by precision plus recall. A single metric that balances the tradeoff between catching attacks and avoiding false alarms.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False negative</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An attack that was not detected. The system classified a malicious prompt as safe and allowed it through. False negatives represent security gaps.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False negative rate (FNR)</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The proportion of real attacks that were not detected. Calculated as false negatives divided by the sum of false negatives and true positives. Lower is better. Target for bank-grade production deployment is below 1 percent.</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False positive</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safe query that was incorrectly blocked. The system classified a legitimate employee question as an attack and blocked it. False positives represent user experience problems.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False positive rate (FPR)</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The proportion of legitimate queries that were incorrectly blocked. Calculated as false positives divided by the sum of false positives and true negatives. Lower is better. Ceiling for internal tools is 15 percent.</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Faithfulness score</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measure of how closely the LLM's response is grounded in the retrieved document chunks, as opposed to the LLM's pre-trained knowledge. Computed as keyword overlap in v1. Full RAGAS semantic scoring in v2.</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Groq</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hardware and API provider offering fast LLM inference for open-source models including Llama 3.1. Used in SafeAI as the external LLM endpoint for response generation and the risk scoring judge.</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Held-out benchmark</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fixed set of test prompts that are never added to the training library. Used exclusively to measure whether the system generalises to unseen attacks as the training library grows.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Jailbreak</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An attack that attempts to bypass an LLM's safety training by using fictional framing, roleplay personas, hypothetical scenarios, or claimed special permissions to persuade the model to act as if its guidelines do not apply.</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KNOWN_ATTACKS</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curated list of labelled attack prompts maintained in risk_scorer.py. Used to build the embedding matrix for the semantic scoring layer. Managed by the automated improvement agent.</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LangChain</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An open-source framework for building applications with large language models. Used in SafeAI for RAG orchestration, prompt templating, and LLM interface abstraction.</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LangGraph</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An extension of LangChain that provides a graph-based interface for agentic workflows. Used in SafeAI for the agentic routing layer.</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LLM judge</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The third layer of the SafeAI risk scorer. An LLM prompted to classify a prompt's risk level and return a structured JSON score. Fires only for prompts with semantic scores in the borderline range.</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N8N</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An open-source workflow automation platform that can be self-hosted. Used in SafeAI for the compliance escalation workflow triggered by BLOCK events.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Ollama</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tool for running open-source LLMs locally without cloud API dependencies. The v2 replacement for the Groq API endpoint.</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OWASP LLM Top 10</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The Open Web Application Security Project's list of the ten most critical security risks for LLM applications, published in 2023. Prompt injection is listed as LLM01.</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PCI-DSS</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Payment Card Industry Data Security Standard. A set of security requirements for organisations that process, store, or transmit payment card data. Requirement 3.4 mandates that primary account numbers are rendered unreadable wherever stored.</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PII</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Personally Identifiable Information. Any data that could be used to identify a specific individual either directly or in combination with other data. Includes names, email addresses, national IDs, financial account numbers, and biometric data.</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Precision</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The proportion of blocked or flagged prompts that were genuine attacks. Calculated as true positives divided by the sum of true positives and false positives. High precision means the system is not crying wolf.</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Presidio</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An open-source PII detection and anonymisation library developed by Microsoft. Runs entirely locally. Used in SafeAI for both the input scrubber and the output firewall.</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Prompt injection</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An attack in which adversarial instructions are embedded in a user prompt with the intent of overriding the model's original instructions. Similar in concept to SQL injection but targeting natural language models rather than databases.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RAG</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Retrieval-Augmented Generation. An architecture pattern in which the LLM is provided with retrieved document chunks as context before generating a response, rather than relying solely on pre-trained knowledge.</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RAGAS</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framework for evaluating RAG systems by measuring the faithfulness, relevance, and groundedness of generated responses relative to retrieved context. Used in the output firewall via a keyword overlap proxy in v1.</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Recall</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The proportion of genuine attacks that were detected. Calculated as true positives divided by the sum of true positives and false negatives. High recall means the system is not missing real threats.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Semantic similarity</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measure of how similar two pieces of text are in meaning, computed as the distance between their embeddings in vector space. Used in Layer 2 of the risk scorer to detect novel phrasings of known attack types.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sentence-transformers</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Python library providing pre-trained models for computing sentence-level embeddings. The all-MiniLM-L6-v2 model used in SafeAI produces 384-dimensional embeddings optimised for semantic similarity tasks.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Session fingerprint</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See device fingerprint.</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Social engineering</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An attack that uses psychological manipulation rather than technical exploits to persuade a system to behave differently. In LLM contexts this typically involves impersonating authority figures, claiming prior approval for unusual requests, or using urgency to bypass normal scrutiny.</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SQLite</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serverless relational database engine that stores data in a single local file. Used for the SafeAI audit log.</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True negative</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safe query that was correctly passed through without blocking. The system correctly identified it as legitimate.</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True positive</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An attack that was correctly detected and blocked or flagged. The system correctly identified it as malicious.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Vector database</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 database optimised for storing and querying high-dimensional vectors. Enables efficient semantic similarity search over large collections of text embeddings.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Webhook</w:t>
            </w:r>
          </w:p>
        </w:tc>
        <w:tc>
          <w:tcPr>
            <w:tcW w:type="dxa" w:w="6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An HTTP callback that fires automatically when a specific event occurs. SafeAI fires a webhook to N8N whenever a prompt is blocked, triggering the compliance escalation workflow.</w:t>
            </w:r>
          </w:p>
        </w:tc>
      </w:tr>
    </w:tbl>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o"/>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sz w:val="22"/>
      <w:szCs w:val="2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2026-06-03T00:15:25.935Z</dcterms:created>
  <dcterms:modified xsi:type="dcterms:W3CDTF">2026-06-03T00:15:25.935Z</dcterms:modified>
</cp:coreProperties>
</file>

<file path=docProps/custom.xml><?xml version="1.0" encoding="utf-8"?>
<Properties xmlns="http://schemas.openxmlformats.org/officeDocument/2006/custom-properties" xmlns:vt="http://schemas.openxmlformats.org/officeDocument/2006/docPropsVTypes"/>
</file>