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95237532"/>
      <w:bookmarkStart w:id="1" w:name="_Hlk112149949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La Resolución N° 0002-CF-FCC.SS.-UPLA-2023 de fecha 27.06.2023, Oficio N° 0003-DECANATO/VIRTUAL-FCCSS-UPLA de fecha 01.07.2023, Proveído N° 0004-2023-R-UPLA de fecha 27.06.2023 y acuerdo de Consejo Universitario en sesión extraordinaria de fecha 27.06.2023, respectivamente; y, aqea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Estatuto de la Universidad Peruana Los Andes en su décima disposición complementaria final, establece que ningún miembro de la Comunidad Universitaria o terceros pueden usar o disponer en sus publicaciones o realizar actividades atribuyéndose la representatividad de la Universidad, sin la autorizac  ión del Consejo Universitario, bajo responsabilidad;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Resolución N° 015-2022-AU de fecha 10.06.2022, mediante la cual la Asamblea Universitaria modifica la novena disposición complementaria final del Estatuto vigente, debiendo considerarse: - EMBLEMA DE LA UNIVERSIDAD: Se instituye oficialmente los elementos y los colores previstos en la marca (logotipo, emblemática, signo distintivo) de la Universidad Peruana Los Andes que son el azul y el blanco, cuya simbología, precedencia, honores y protocolo s aerán reglamentados y establecidos en el manual de uso por la universidad;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Resolución N° 0002-CF-FCC.SS.-UPLA-2023 de fecha 27.06.2023, mediante la cual el Consejo de Facultad de Ciencias Administrativas y Contables propone el auspicio académico para 123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Los Miembros del Consejo Universitario en sesión extraordinaria de fecha 27.06.2023, toman conocimiento del expediente y después del debate pertinente, en atención a los fundamentos señalados y en uso a las atribuciones otorgadas por ley;</w:t>
      </w:r>
    </w:p>
    <w:bookmarkEnd w:id="1"/>
    <w:p w14:paraId="672F7575" w14:textId="720DFCAA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APROBAR </w:t>
      </w:r>
      <w:r w:rsidRPr="00B45093">
        <w:rPr>
          <w:rFonts w:ascii="Arial Narrow" w:hAnsi="Arial Narrow"/>
          <w:sz w:val="17"/>
          <w:szCs w:val="17"/>
          <w:highlight w:val="yellow"/>
        </w:rPr>
        <w:t>el auspicio académico para 123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DISPONER </w:t>
      </w:r>
      <w:r w:rsidRPr="00B45093">
        <w:rPr>
          <w:rFonts w:ascii="Arial Narrow" w:hAnsi="Arial Narrow"/>
          <w:sz w:val="17"/>
          <w:szCs w:val="17"/>
          <w:highlight w:val="yellow"/>
        </w:rPr>
        <w:t>el uso del emblema de la Universidad Peruana Los Andes 123, en concordancia con lo resuelto en el Art. 1°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 los Vicerrectores Académico y de Investigación, al Decano de la Facultad de Ciencias Administrativas y Contables, al Director General de Administración, a los jefes de las Oficinas de Asesoría Jurídica, Marketing y Comunicaciones y demás instancias académicas y administrativas el cumplimiento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DAR POR CONOCIDO </w:t>
      </w:r>
      <w:r w:rsidRPr="00B45093">
        <w:rPr>
          <w:rFonts w:ascii="Arial Narrow" w:hAnsi="Arial Narrow"/>
          <w:sz w:val="17"/>
          <w:szCs w:val="17"/>
          <w:highlight w:val="yellow"/>
        </w:rPr>
        <w:t>la presente resolución a las instancias correspondientes, para su conocimiento y fines pertinentes.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0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1E71D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AC0" w14:textId="77777777" w:rsidR="0066274E" w:rsidRDefault="0066274E" w:rsidP="003C5E66">
      <w:r>
        <w:separator/>
      </w:r>
    </w:p>
  </w:endnote>
  <w:endnote w:type="continuationSeparator" w:id="0">
    <w:p w14:paraId="0C96960D" w14:textId="77777777" w:rsidR="0066274E" w:rsidRDefault="0066274E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08BD" w14:textId="77777777" w:rsidR="0066274E" w:rsidRDefault="0066274E" w:rsidP="003C5E66">
      <w:r>
        <w:separator/>
      </w:r>
    </w:p>
  </w:footnote>
  <w:footnote w:type="continuationSeparator" w:id="0">
    <w:p w14:paraId="7F858779" w14:textId="77777777" w:rsidR="0066274E" w:rsidRDefault="0066274E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  <w:bookmarkStart w:id="2" w:name="_GoBack"/>
    <w:bookmarkEnd w:id="2"/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0001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27.06.2023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D99A-7817-42D3-BA95-3AE6C1BC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36</cp:revision>
  <cp:lastPrinted>2022-08-23T17:28:00Z</cp:lastPrinted>
  <dcterms:created xsi:type="dcterms:W3CDTF">2023-01-20T15:37:00Z</dcterms:created>
  <dcterms:modified xsi:type="dcterms:W3CDTF">2023-06-26T23:38:00Z</dcterms:modified>
</cp:coreProperties>
</file>