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Gabarito das atividades da Aula 7</w:t>
      </w:r>
    </w:p>
    <w:p>
      <w:pPr>
        <w:jc w:val="center"/>
      </w:pPr>
      <w:r>
        <w:rPr>
          <w:b/>
          <w:sz w:val="30"/>
        </w:rPr>
        <w:t>Administração da Produção</w:t>
      </w:r>
    </w:p>
    <w:p>
      <w:pPr>
        <w:jc w:val="center"/>
      </w:pPr>
      <w:r>
        <w:rPr>
          <w:color w:val="176B87"/>
          <w:sz w:val="26"/>
        </w:rPr>
        <w:t>Unidade 7  Programação da produção</w:t>
      </w:r>
    </w:p>
    <w:p/>
    <w:p>
      <w:pPr>
        <w:jc w:val="both"/>
      </w:pPr>
      <w:r>
        <w:t>Este gabarito reúne as respostas esperadas para as perguntas e atividades propostas nos slides. Os cálculos consideram os dados e as simplificações usados em aula. Respostas alternativas são válidas quando explicitam as restrições, demonstram os cálculos e relacionam a decisão ao objetivo da programação.</w:t>
      </w:r>
    </w:p>
    <w:p>
      <w:pPr>
        <w:spacing w:after="140"/>
      </w:pPr>
      <w:r>
        <w:rPr>
          <w:b/>
          <w:color w:val="17324D"/>
        </w:rPr>
        <w:t xml:space="preserve">Uso sugerido </w:t>
      </w:r>
      <w:r>
        <w:t>Aplicar após a discussão dos grupos ou como material docente de apoio à correção.</w:t>
      </w:r>
    </w:p>
    <w:p>
      <w:r>
        <w:br w:type="page"/>
      </w:r>
    </w:p>
    <w:p>
      <w:pPr>
        <w:pStyle w:val="Heading1"/>
      </w:pPr>
      <w:r>
        <w:t>1 Decisões operacionais e roteiro</w:t>
      </w:r>
    </w:p>
    <w:p>
      <w:pPr>
        <w:pStyle w:val="Heading2"/>
      </w:pPr>
      <w:r>
        <w:t>1.1 Máquina disponível e ordem impedida</w:t>
      </w:r>
    </w:p>
    <w:p>
      <w:pPr>
        <w:spacing w:after="140"/>
      </w:pPr>
      <w:r>
        <w:rPr>
          <w:b/>
          <w:color w:val="17324D"/>
        </w:rPr>
        <w:t xml:space="preserve">Pergunta </w:t>
      </w:r>
      <w:r>
        <w:t>Em qual decisão uma máquina pode estar disponível e, ainda assim, a ordem não poder começar?</w:t>
      </w:r>
    </w:p>
    <w:p>
      <w:pPr>
        <w:spacing w:after="140"/>
      </w:pPr>
      <w:r>
        <w:rPr>
          <w:b/>
          <w:color w:val="17324D"/>
        </w:rPr>
        <w:t xml:space="preserve">Resposta esperada </w:t>
      </w:r>
      <w:r>
        <w:t>A disponibilidade da máquina não garante a liberação da ordem. O impedimento pode estar no roteiro, nos materiais, nas precedências ou em outro recurso necessário.</w:t>
      </w:r>
    </w:p>
    <w:p>
      <w:pPr>
        <w:pStyle w:val="ListBullet"/>
        <w:spacing w:after="60"/>
      </w:pPr>
      <w:r>
        <w:t>uma operação predecessora ainda não terminou</w:t>
      </w:r>
    </w:p>
    <w:p>
      <w:pPr>
        <w:pStyle w:val="ListBullet"/>
        <w:spacing w:after="60"/>
      </w:pPr>
      <w:r>
        <w:t>o material ou componente não foi liberado pelo MRP</w:t>
      </w:r>
    </w:p>
    <w:p>
      <w:pPr>
        <w:pStyle w:val="ListBullet"/>
        <w:spacing w:after="60"/>
      </w:pPr>
      <w:r>
        <w:t>o ferramental, o operador qualificado ou o programa da máquina não está disponível</w:t>
      </w:r>
    </w:p>
    <w:p>
      <w:pPr>
        <w:pStyle w:val="ListBullet"/>
        <w:spacing w:after="60"/>
      </w:pPr>
      <w:r>
        <w:t>a ordem aguarda inspeção, documentação ou autorização de qualidade</w:t>
      </w:r>
    </w:p>
    <w:p>
      <w:pPr>
        <w:spacing w:after="140"/>
      </w:pPr>
      <w:r>
        <w:rPr>
          <w:b/>
          <w:color w:val="17324D"/>
        </w:rPr>
        <w:t xml:space="preserve">Critério de correção </w:t>
      </w:r>
      <w:r>
        <w:t>A resposta deve distinguir capacidade disponível de ordem efetivamente liberada para execução.</w:t>
      </w:r>
    </w:p>
    <w:p>
      <w:pPr>
        <w:pStyle w:val="Heading2"/>
      </w:pPr>
      <w:r>
        <w:t>1.2 Carga do lote de 100 eixos</w:t>
      </w:r>
    </w:p>
    <w:p>
      <w:pPr>
        <w:spacing w:after="140"/>
      </w:pPr>
      <w:r>
        <w:rPr>
          <w:b/>
          <w:color w:val="17324D"/>
        </w:rPr>
        <w:t xml:space="preserve">Pergunta </w:t>
      </w:r>
      <w:r>
        <w:t>Com 16 horas disponíveis, o problema deve ser tratado por carregamento, sequenciamento ou aumento de capacidade?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528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Operação no Torno CNC 01</w:t>
            </w:r>
          </w:p>
        </w:tc>
        <w:tc>
          <w:tcPr>
            <w:tcW w:type="dxa" w:w="3528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Cálculo</w:t>
            </w:r>
          </w:p>
        </w:tc>
        <w:tc>
          <w:tcPr>
            <w:tcW w:type="dxa" w:w="1800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Carga</w:t>
            </w:r>
          </w:p>
        </w:tc>
      </w:tr>
      <w:tr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9"/>
              </w:rPr>
              <w:t>Tornear desbaste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20 + 8,5 x 100</w:t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870 min</w:t>
            </w:r>
          </w:p>
        </w:tc>
      </w:tr>
      <w:tr>
        <w:tc>
          <w:tcPr>
            <w:tcW w:type="dxa" w:w="3528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9"/>
              </w:rPr>
              <w:t>Tornear acabamento</w:t>
            </w:r>
          </w:p>
        </w:tc>
        <w:tc>
          <w:tcPr>
            <w:tcW w:type="dxa" w:w="3528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10 + 4,2 x 100</w:t>
            </w:r>
          </w:p>
        </w:tc>
        <w:tc>
          <w:tcPr>
            <w:tcW w:type="dxa" w:w="1800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430 min</w:t>
            </w:r>
          </w:p>
        </w:tc>
      </w:tr>
      <w:tr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9"/>
              </w:rPr>
              <w:t>Total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870 + 430</w:t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1.300 min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capacidade disponível: 16 h = 960 min</w:t>
      </w:r>
    </w:p>
    <w:p>
      <w:pPr>
        <w:pStyle w:val="ListBullet"/>
        <w:spacing w:after="60"/>
      </w:pPr>
      <w:r>
        <w:t>déficit: 1.300 - 960 = 340 min = 5 h 40 min</w:t>
      </w:r>
    </w:p>
    <w:p>
      <w:pPr>
        <w:pStyle w:val="ListBullet"/>
        <w:spacing w:after="60"/>
      </w:pPr>
      <w:r>
        <w:t>utilização necessária: 1.300 / 960 = 135,4 por cento</w:t>
      </w:r>
    </w:p>
    <w:p>
      <w:pPr>
        <w:spacing w:after="140"/>
      </w:pPr>
      <w:r>
        <w:rPr>
          <w:b/>
          <w:color w:val="17324D"/>
        </w:rPr>
        <w:t xml:space="preserve">Conclusão </w:t>
      </w:r>
      <w:r>
        <w:t>O diagnóstico pertence ao carregamento, pois a carga excede a capacidade. O sequenciamento define a prioridade, mas não elimina o déficit. A solução exige capacidade adicional, recurso alternativo, divisão do lote ou renegociação do prazo.</w:t>
      </w:r>
    </w:p>
    <w:p>
      <w:r>
        <w:br w:type="page"/>
      </w:r>
    </w:p>
    <w:p>
      <w:pPr>
        <w:pStyle w:val="Heading1"/>
      </w:pPr>
      <w:r>
        <w:t>2 Regras de sequenciamento</w:t>
      </w:r>
    </w:p>
    <w:p>
      <w:pPr>
        <w:pStyle w:val="Heading2"/>
      </w:pPr>
      <w:r>
        <w:t>2.1 Sequências da carteira comum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1440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Trabalho</w:t>
            </w:r>
          </w:p>
        </w:tc>
        <w:tc>
          <w:tcPr>
            <w:tcW w:type="dxa" w:w="2088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Processamento h</w:t>
            </w:r>
          </w:p>
        </w:tc>
        <w:tc>
          <w:tcPr>
            <w:tcW w:type="dxa" w:w="1656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Prazo h</w:t>
            </w:r>
          </w:p>
        </w:tc>
        <w:tc>
          <w:tcPr>
            <w:tcW w:type="dxa" w:w="1440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Chegada</w:t>
            </w:r>
          </w:p>
        </w:tc>
        <w:tc>
          <w:tcPr>
            <w:tcW w:type="dxa" w:w="2232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Folga estática h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A</w:t>
            </w:r>
          </w:p>
        </w:tc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8</w:t>
            </w:r>
          </w:p>
        </w:tc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15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1</w:t>
            </w:r>
          </w:p>
        </w:tc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7</w:t>
            </w:r>
          </w:p>
        </w:tc>
      </w:tr>
      <w:tr>
        <w:tc>
          <w:tcPr>
            <w:tcW w:type="dxa" w:w="1440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B</w:t>
            </w:r>
          </w:p>
        </w:tc>
        <w:tc>
          <w:tcPr>
            <w:tcW w:type="dxa" w:w="2088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3</w:t>
            </w:r>
          </w:p>
        </w:tc>
        <w:tc>
          <w:tcPr>
            <w:tcW w:type="dxa" w:w="1656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10</w:t>
            </w:r>
          </w:p>
        </w:tc>
        <w:tc>
          <w:tcPr>
            <w:tcW w:type="dxa" w:w="1440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2</w:t>
            </w:r>
          </w:p>
        </w:tc>
        <w:tc>
          <w:tcPr>
            <w:tcW w:type="dxa" w:w="2232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7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C</w:t>
            </w:r>
          </w:p>
        </w:tc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7</w:t>
            </w:r>
          </w:p>
        </w:tc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20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3</w:t>
            </w:r>
          </w:p>
        </w:tc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13</w:t>
            </w:r>
          </w:p>
        </w:tc>
      </w:tr>
      <w:tr>
        <w:tc>
          <w:tcPr>
            <w:tcW w:type="dxa" w:w="1440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D</w:t>
            </w:r>
          </w:p>
        </w:tc>
        <w:tc>
          <w:tcPr>
            <w:tcW w:type="dxa" w:w="2088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12</w:t>
            </w:r>
          </w:p>
        </w:tc>
        <w:tc>
          <w:tcPr>
            <w:tcW w:type="dxa" w:w="1656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25</w:t>
            </w:r>
          </w:p>
        </w:tc>
        <w:tc>
          <w:tcPr>
            <w:tcW w:type="dxa" w:w="1440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4</w:t>
            </w:r>
          </w:p>
        </w:tc>
        <w:tc>
          <w:tcPr>
            <w:tcW w:type="dxa" w:w="2232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13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E</w:t>
            </w:r>
          </w:p>
        </w:tc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5</w:t>
            </w:r>
          </w:p>
        </w:tc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12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5</w:t>
            </w:r>
          </w:p>
        </w:tc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7</w:t>
            </w:r>
          </w:p>
        </w:tc>
      </w:tr>
    </w:tbl>
    <w:p>
      <w:pPr>
        <w:spacing w:after="0"/>
      </w:pPr>
    </w:p>
    <w:p>
      <w:pPr>
        <w:spacing w:after="140"/>
      </w:pPr>
      <w:r>
        <w:rPr>
          <w:b/>
          <w:color w:val="17324D"/>
        </w:rPr>
        <w:t xml:space="preserve">Fórmula da folga estática </w:t>
      </w:r>
      <w:r>
        <w:t>Prazo - tempo atual - tempo de processamento. Como o tempo atual é zero, a folga corresponde a prazo - processamento.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</w:trPr>
        <w:tc>
          <w:tcPr>
            <w:tcW w:type="dxa" w:w="936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Regra</w:t>
            </w:r>
          </w:p>
        </w:tc>
        <w:tc>
          <w:tcPr>
            <w:tcW w:type="dxa" w:w="2376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Sequência</w:t>
            </w:r>
          </w:p>
        </w:tc>
        <w:tc>
          <w:tcPr>
            <w:tcW w:type="dxa" w:w="1584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Fluxo médio h</w:t>
            </w:r>
          </w:p>
        </w:tc>
        <w:tc>
          <w:tcPr>
            <w:tcW w:type="dxa" w:w="1656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Atraso médio h</w:t>
            </w:r>
          </w:p>
        </w:tc>
        <w:tc>
          <w:tcPr>
            <w:tcW w:type="dxa" w:w="1656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Atraso máximo h</w:t>
            </w:r>
          </w:p>
        </w:tc>
        <w:tc>
          <w:tcPr>
            <w:tcW w:type="dxa" w:w="1152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Atrasados</w:t>
            </w:r>
          </w:p>
        </w:tc>
      </w:tr>
      <w:tr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7"/>
              </w:rPr>
              <w:t>FIFO</w:t>
            </w:r>
          </w:p>
        </w:tc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7"/>
              </w:rPr>
              <w:t>A - B - C - D - E</w:t>
            </w:r>
          </w:p>
        </w:tc>
        <w:tc>
          <w:tcPr>
            <w:tcW w:type="dxa" w:w="15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7"/>
              </w:rPr>
              <w:t>20,4</w:t>
            </w:r>
          </w:p>
        </w:tc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7"/>
              </w:rPr>
              <w:t>5,8</w:t>
            </w:r>
          </w:p>
        </w:tc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7"/>
              </w:rPr>
              <w:t>23</w:t>
            </w:r>
          </w:p>
        </w:tc>
        <w:tc>
          <w:tcPr>
            <w:tcW w:type="dxa" w:w="11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7"/>
              </w:rPr>
              <w:t>3</w:t>
            </w:r>
          </w:p>
        </w:tc>
      </w:tr>
      <w:tr>
        <w:tc>
          <w:tcPr>
            <w:tcW w:type="dxa" w:w="936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7"/>
              </w:rPr>
              <w:t>MTP</w:t>
            </w:r>
          </w:p>
        </w:tc>
        <w:tc>
          <w:tcPr>
            <w:tcW w:type="dxa" w:w="2376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7"/>
              </w:rPr>
              <w:t>B - E - C - A - D</w:t>
            </w:r>
          </w:p>
        </w:tc>
        <w:tc>
          <w:tcPr>
            <w:tcW w:type="dxa" w:w="1584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7"/>
              </w:rPr>
              <w:t>16,8</w:t>
            </w:r>
          </w:p>
        </w:tc>
        <w:tc>
          <w:tcPr>
            <w:tcW w:type="dxa" w:w="1656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7"/>
              </w:rPr>
              <w:t>3,6</w:t>
            </w:r>
          </w:p>
        </w:tc>
        <w:tc>
          <w:tcPr>
            <w:tcW w:type="dxa" w:w="1656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7"/>
              </w:rPr>
              <w:t>10</w:t>
            </w:r>
          </w:p>
        </w:tc>
        <w:tc>
          <w:tcPr>
            <w:tcW w:type="dxa" w:w="1152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7"/>
              </w:rPr>
              <w:t>2</w:t>
            </w:r>
          </w:p>
        </w:tc>
      </w:tr>
      <w:tr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7"/>
              </w:rPr>
              <w:t>MDE</w:t>
            </w:r>
          </w:p>
        </w:tc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7"/>
              </w:rPr>
              <w:t>B - E - A - C - D</w:t>
            </w:r>
          </w:p>
        </w:tc>
        <w:tc>
          <w:tcPr>
            <w:tcW w:type="dxa" w:w="15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7"/>
              </w:rPr>
              <w:t>17,0</w:t>
            </w:r>
          </w:p>
        </w:tc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7"/>
              </w:rPr>
              <w:t>2,8</w:t>
            </w:r>
          </w:p>
        </w:tc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7"/>
              </w:rPr>
              <w:t>10</w:t>
            </w:r>
          </w:p>
        </w:tc>
        <w:tc>
          <w:tcPr>
            <w:tcW w:type="dxa" w:w="11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7"/>
              </w:rPr>
              <w:t>3</w:t>
            </w:r>
          </w:p>
        </w:tc>
      </w:tr>
      <w:tr>
        <w:tc>
          <w:tcPr>
            <w:tcW w:type="dxa" w:w="936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7"/>
              </w:rPr>
              <w:t>MFE</w:t>
            </w:r>
          </w:p>
        </w:tc>
        <w:tc>
          <w:tcPr>
            <w:tcW w:type="dxa" w:w="2376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7"/>
              </w:rPr>
              <w:t>A - B - E - C - D</w:t>
            </w:r>
          </w:p>
        </w:tc>
        <w:tc>
          <w:tcPr>
            <w:tcW w:type="dxa" w:w="1584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7"/>
              </w:rPr>
              <w:t>18,6</w:t>
            </w:r>
          </w:p>
        </w:tc>
        <w:tc>
          <w:tcPr>
            <w:tcW w:type="dxa" w:w="1656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7"/>
              </w:rPr>
              <w:t>3,6</w:t>
            </w:r>
          </w:p>
        </w:tc>
        <w:tc>
          <w:tcPr>
            <w:tcW w:type="dxa" w:w="1656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7"/>
              </w:rPr>
              <w:t>10</w:t>
            </w:r>
          </w:p>
        </w:tc>
        <w:tc>
          <w:tcPr>
            <w:tcW w:type="dxa" w:w="1152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7"/>
              </w:rPr>
              <w:t>4</w:t>
            </w:r>
          </w:p>
        </w:tc>
      </w:tr>
    </w:tbl>
    <w:p>
      <w:pPr>
        <w:spacing w:after="0"/>
      </w:pPr>
    </w:p>
    <w:p>
      <w:pPr>
        <w:spacing w:after="140"/>
      </w:pPr>
      <w:r>
        <w:rPr>
          <w:b/>
          <w:color w:val="17324D"/>
        </w:rPr>
        <w:t xml:space="preserve">Interpretação </w:t>
      </w:r>
      <w:r>
        <w:t>MTP produz o menor fluxo médio e o menor número de trabalhos atrasados. MDE produz o menor atraso médio. O makespan é 35 horas em todas as regras porque não há ociosidade e a carga total não muda.</w:t>
      </w:r>
    </w:p>
    <w:p>
      <w:pPr>
        <w:pStyle w:val="Heading2"/>
      </w:pPr>
      <w:r>
        <w:t>2.2 Detalhamento da regra MTP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</w:trPr>
        <w:tc>
          <w:tcPr>
            <w:tcW w:type="dxa" w:w="1152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Ordem</w:t>
            </w:r>
          </w:p>
        </w:tc>
        <w:tc>
          <w:tcPr>
            <w:tcW w:type="dxa" w:w="1800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Processamento h</w:t>
            </w:r>
          </w:p>
        </w:tc>
        <w:tc>
          <w:tcPr>
            <w:tcW w:type="dxa" w:w="1440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Início h</w:t>
            </w:r>
          </w:p>
        </w:tc>
        <w:tc>
          <w:tcPr>
            <w:tcW w:type="dxa" w:w="1440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Término h</w:t>
            </w:r>
          </w:p>
        </w:tc>
        <w:tc>
          <w:tcPr>
            <w:tcW w:type="dxa" w:w="1296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Prazo h</w:t>
            </w:r>
          </w:p>
        </w:tc>
        <w:tc>
          <w:tcPr>
            <w:tcW w:type="dxa" w:w="1296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Atraso h</w:t>
            </w:r>
          </w:p>
        </w:tc>
      </w:tr>
      <w:tr>
        <w:tc>
          <w:tcPr>
            <w:tcW w:type="dxa" w:w="11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B</w:t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3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0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3</w:t>
            </w:r>
          </w:p>
        </w:tc>
        <w:tc>
          <w:tcPr>
            <w:tcW w:type="dxa" w:w="12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10</w:t>
            </w:r>
          </w:p>
        </w:tc>
        <w:tc>
          <w:tcPr>
            <w:tcW w:type="dxa" w:w="12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0</w:t>
            </w:r>
          </w:p>
        </w:tc>
      </w:tr>
      <w:tr>
        <w:tc>
          <w:tcPr>
            <w:tcW w:type="dxa" w:w="1152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E</w:t>
            </w:r>
          </w:p>
        </w:tc>
        <w:tc>
          <w:tcPr>
            <w:tcW w:type="dxa" w:w="1800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5</w:t>
            </w:r>
          </w:p>
        </w:tc>
        <w:tc>
          <w:tcPr>
            <w:tcW w:type="dxa" w:w="1440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3</w:t>
            </w:r>
          </w:p>
        </w:tc>
        <w:tc>
          <w:tcPr>
            <w:tcW w:type="dxa" w:w="1440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8</w:t>
            </w:r>
          </w:p>
        </w:tc>
        <w:tc>
          <w:tcPr>
            <w:tcW w:type="dxa" w:w="1296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12</w:t>
            </w:r>
          </w:p>
        </w:tc>
        <w:tc>
          <w:tcPr>
            <w:tcW w:type="dxa" w:w="1296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0</w:t>
            </w:r>
          </w:p>
        </w:tc>
      </w:tr>
      <w:tr>
        <w:tc>
          <w:tcPr>
            <w:tcW w:type="dxa" w:w="11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C</w:t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7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8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15</w:t>
            </w:r>
          </w:p>
        </w:tc>
        <w:tc>
          <w:tcPr>
            <w:tcW w:type="dxa" w:w="12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20</w:t>
            </w:r>
          </w:p>
        </w:tc>
        <w:tc>
          <w:tcPr>
            <w:tcW w:type="dxa" w:w="12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0</w:t>
            </w:r>
          </w:p>
        </w:tc>
      </w:tr>
      <w:tr>
        <w:tc>
          <w:tcPr>
            <w:tcW w:type="dxa" w:w="1152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A</w:t>
            </w:r>
          </w:p>
        </w:tc>
        <w:tc>
          <w:tcPr>
            <w:tcW w:type="dxa" w:w="1800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8</w:t>
            </w:r>
          </w:p>
        </w:tc>
        <w:tc>
          <w:tcPr>
            <w:tcW w:type="dxa" w:w="1440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15</w:t>
            </w:r>
          </w:p>
        </w:tc>
        <w:tc>
          <w:tcPr>
            <w:tcW w:type="dxa" w:w="1440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23</w:t>
            </w:r>
          </w:p>
        </w:tc>
        <w:tc>
          <w:tcPr>
            <w:tcW w:type="dxa" w:w="1296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15</w:t>
            </w:r>
          </w:p>
        </w:tc>
        <w:tc>
          <w:tcPr>
            <w:tcW w:type="dxa" w:w="1296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8</w:t>
            </w:r>
          </w:p>
        </w:tc>
      </w:tr>
      <w:tr>
        <w:tc>
          <w:tcPr>
            <w:tcW w:type="dxa" w:w="11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D</w:t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12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23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35</w:t>
            </w:r>
          </w:p>
        </w:tc>
        <w:tc>
          <w:tcPr>
            <w:tcW w:type="dxa" w:w="12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25</w:t>
            </w:r>
          </w:p>
        </w:tc>
        <w:tc>
          <w:tcPr>
            <w:tcW w:type="dxa" w:w="12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10</w:t>
            </w:r>
          </w:p>
        </w:tc>
      </w:tr>
    </w:tbl>
    <w:p>
      <w:pPr>
        <w:spacing w:after="0"/>
      </w:pPr>
    </w:p>
    <w:p>
      <w:pPr>
        <w:spacing w:after="140"/>
      </w:pPr>
      <w:r>
        <w:rPr>
          <w:b/>
          <w:color w:val="17324D"/>
        </w:rPr>
        <w:t xml:space="preserve">Resposta à previsão dos grupos </w:t>
      </w:r>
      <w:r>
        <w:t>MTP tende a reduzir o fluxo médio. MDE tende a proteger melhor as datas de entrega. Nesta carteira, MDE confirma essa expectativa pelo menor atraso médio, embora MTP deixe menos trabalhos atrasados.</w:t>
      </w:r>
    </w:p>
    <w:p>
      <w:pPr>
        <w:pStyle w:val="Heading2"/>
      </w:pPr>
      <w:r>
        <w:t>2.3 Prioridade para cliente estratégico</w:t>
      </w:r>
    </w:p>
    <w:p>
      <w:pPr>
        <w:spacing w:after="140"/>
      </w:pPr>
      <w:r>
        <w:rPr>
          <w:b/>
          <w:color w:val="17324D"/>
        </w:rPr>
        <w:t xml:space="preserve">Pergunta </w:t>
      </w:r>
      <w:r>
        <w:t>Que indicador mostra o custo de antecipar o pedido de um cliente estratégico para os demais pedidos?</w:t>
      </w:r>
    </w:p>
    <w:p>
      <w:pPr>
        <w:spacing w:after="140"/>
      </w:pPr>
      <w:r>
        <w:rPr>
          <w:b/>
          <w:color w:val="17324D"/>
        </w:rPr>
        <w:t xml:space="preserve">Resposta esperada </w:t>
      </w:r>
      <w:r>
        <w:t>A equipe deve recalcular a sequência com e sem a prioridade e comparar os indicadores. Não basta afirmar que o cliente estratégico melhora.</w:t>
      </w:r>
    </w:p>
    <w:p>
      <w:pPr>
        <w:pStyle w:val="ListBullet"/>
        <w:spacing w:after="60"/>
      </w:pPr>
      <w:r>
        <w:t>número de pedidos atrasados e OTIF</w:t>
      </w:r>
    </w:p>
    <w:p>
      <w:pPr>
        <w:pStyle w:val="ListBullet"/>
        <w:spacing w:after="60"/>
      </w:pPr>
      <w:r>
        <w:t>atraso médio e atraso máximo</w:t>
      </w:r>
    </w:p>
    <w:p>
      <w:pPr>
        <w:pStyle w:val="ListBullet"/>
        <w:spacing w:after="60"/>
      </w:pPr>
      <w:r>
        <w:t>fluxo médio e tempo de espera dos pedidos deslocados</w:t>
      </w:r>
    </w:p>
    <w:p>
      <w:pPr>
        <w:pStyle w:val="ListBullet"/>
        <w:spacing w:after="60"/>
      </w:pPr>
      <w:r>
        <w:t>eventual aumento de setup ou perda de utilização</w:t>
      </w:r>
    </w:p>
    <w:p>
      <w:pPr>
        <w:spacing w:after="140"/>
      </w:pPr>
      <w:r>
        <w:rPr>
          <w:b/>
          <w:color w:val="17324D"/>
        </w:rPr>
        <w:t xml:space="preserve">Critério de correção </w:t>
      </w:r>
      <w:r>
        <w:t>A resposta deve medir o efeito sistêmico da prioridade, e não apenas o desempenho do pedido antecipado.</w:t>
      </w:r>
    </w:p>
    <w:p>
      <w:pPr>
        <w:pStyle w:val="Heading1"/>
      </w:pPr>
      <w:r>
        <w:t>3 Carga finita e decisões de capacidade</w:t>
      </w:r>
    </w:p>
    <w:p>
      <w:pPr>
        <w:pStyle w:val="Heading2"/>
      </w:pPr>
      <w:r>
        <w:t>3.1 Decisão antes de publicar o programa</w:t>
      </w:r>
    </w:p>
    <w:p>
      <w:pPr>
        <w:spacing w:after="140"/>
      </w:pPr>
      <w:r>
        <w:rPr>
          <w:b/>
          <w:color w:val="17324D"/>
        </w:rPr>
        <w:t xml:space="preserve">Situação </w:t>
      </w:r>
      <w:r>
        <w:t>Uma máquina possui 20 horas disponíveis e recebe 24,25 horas de trabalho.</w:t>
      </w:r>
    </w:p>
    <w:p>
      <w:pPr>
        <w:spacing w:after="140"/>
      </w:pPr>
      <w:r>
        <w:rPr>
          <w:b/>
          <w:color w:val="17324D"/>
        </w:rPr>
        <w:t xml:space="preserve">Resposta esperada </w:t>
      </w:r>
      <w:r>
        <w:t>A carga infinita registra o déficit de 4,25 horas. Antes de publicar o programa finito, o PCP precisa escolher uma ação que torne a carga executável.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00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Alternativa</w:t>
            </w:r>
          </w:p>
        </w:tc>
        <w:tc>
          <w:tcPr>
            <w:tcW w:type="dxa" w:w="3240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Quando faz sentido</w:t>
            </w:r>
          </w:p>
        </w:tc>
        <w:tc>
          <w:tcPr>
            <w:tcW w:type="dxa" w:w="3960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Informação que precisa ser confirmada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8"/>
              </w:rPr>
              <w:t>Hora extra</w:t>
            </w:r>
          </w:p>
        </w:tc>
        <w:tc>
          <w:tcPr>
            <w:tcW w:type="dxa" w:w="32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8"/>
              </w:rPr>
              <w:t>prazo rígido e equipe disponível</w:t>
            </w:r>
          </w:p>
        </w:tc>
        <w:tc>
          <w:tcPr>
            <w:tcW w:type="dxa" w:w="39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8"/>
              </w:rPr>
              <w:t>custo, limite legal, fadiga e manutenção</w:t>
            </w:r>
          </w:p>
        </w:tc>
      </w:tr>
      <w:tr>
        <w:tc>
          <w:tcPr>
            <w:tcW w:type="dxa" w:w="1800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8"/>
              </w:rPr>
              <w:t>Recurso alternativo</w:t>
            </w:r>
          </w:p>
        </w:tc>
        <w:tc>
          <w:tcPr>
            <w:tcW w:type="dxa" w:w="3240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8"/>
              </w:rPr>
              <w:t>há capacidade em máquina compatível</w:t>
            </w:r>
          </w:p>
        </w:tc>
        <w:tc>
          <w:tcPr>
            <w:tcW w:type="dxa" w:w="3960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8"/>
              </w:rPr>
              <w:t>roteiro, ferramental, qualidade e operador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8"/>
              </w:rPr>
              <w:t>Dividir a ordem</w:t>
            </w:r>
          </w:p>
        </w:tc>
        <w:tc>
          <w:tcPr>
            <w:tcW w:type="dxa" w:w="32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8"/>
              </w:rPr>
              <w:t>entrega parcial tem valor</w:t>
            </w:r>
          </w:p>
        </w:tc>
        <w:tc>
          <w:tcPr>
            <w:tcW w:type="dxa" w:w="39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8"/>
              </w:rPr>
              <w:t>lote mínimo, setup adicional e rastreabilidade</w:t>
            </w:r>
          </w:p>
        </w:tc>
      </w:tr>
      <w:tr>
        <w:tc>
          <w:tcPr>
            <w:tcW w:type="dxa" w:w="1800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8"/>
              </w:rPr>
              <w:t>Novo prazo</w:t>
            </w:r>
          </w:p>
        </w:tc>
        <w:tc>
          <w:tcPr>
            <w:tcW w:type="dxa" w:w="3240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8"/>
              </w:rPr>
              <w:t>cliente aceita reprogramação</w:t>
            </w:r>
          </w:p>
        </w:tc>
        <w:tc>
          <w:tcPr>
            <w:tcW w:type="dxa" w:w="3960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8"/>
              </w:rPr>
              <w:t>impacto no serviço, contrato e carteira</w:t>
            </w:r>
          </w:p>
        </w:tc>
      </w:tr>
    </w:tbl>
    <w:p>
      <w:pPr>
        <w:spacing w:after="0"/>
      </w:pPr>
    </w:p>
    <w:p>
      <w:pPr>
        <w:spacing w:after="140"/>
      </w:pPr>
      <w:r>
        <w:rPr>
          <w:b/>
          <w:color w:val="17324D"/>
        </w:rPr>
        <w:t xml:space="preserve">Conclusão </w:t>
      </w:r>
      <w:r>
        <w:t>Não existe uma alternativa universalmente correta. A resposta é adequada quando explicita o critério de decisão e demonstra que a carga final respeita as 20 horas.</w:t>
      </w:r>
    </w:p>
    <w:p>
      <w:pPr>
        <w:pStyle w:val="Heading2"/>
      </w:pPr>
      <w:r>
        <w:t>3.2 Transferência entre os tornos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304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Recurso</w:t>
            </w:r>
          </w:p>
        </w:tc>
        <w:tc>
          <w:tcPr>
            <w:tcW w:type="dxa" w:w="2016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Carga h</w:t>
            </w:r>
          </w:p>
        </w:tc>
        <w:tc>
          <w:tcPr>
            <w:tcW w:type="dxa" w:w="2016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Capacidade h</w:t>
            </w:r>
          </w:p>
        </w:tc>
        <w:tc>
          <w:tcPr>
            <w:tcW w:type="dxa" w:w="2016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Saldo h</w:t>
            </w:r>
          </w:p>
        </w:tc>
      </w:tr>
      <w:tr>
        <w:tc>
          <w:tcPr>
            <w:tcW w:type="dxa" w:w="2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9"/>
              </w:rPr>
              <w:t>Torno 01</w:t>
            </w:r>
          </w:p>
        </w:tc>
        <w:tc>
          <w:tcPr>
            <w:tcW w:type="dxa" w:w="20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14,75</w:t>
            </w:r>
          </w:p>
        </w:tc>
        <w:tc>
          <w:tcPr>
            <w:tcW w:type="dxa" w:w="20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20,00</w:t>
            </w:r>
          </w:p>
        </w:tc>
        <w:tc>
          <w:tcPr>
            <w:tcW w:type="dxa" w:w="20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+5,25</w:t>
            </w:r>
          </w:p>
        </w:tc>
      </w:tr>
      <w:tr>
        <w:tc>
          <w:tcPr>
            <w:tcW w:type="dxa" w:w="2304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9"/>
              </w:rPr>
              <w:t>Torno 02</w:t>
            </w:r>
          </w:p>
        </w:tc>
        <w:tc>
          <w:tcPr>
            <w:tcW w:type="dxa" w:w="2016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24,25</w:t>
            </w:r>
          </w:p>
        </w:tc>
        <w:tc>
          <w:tcPr>
            <w:tcW w:type="dxa" w:w="2016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20,00</w:t>
            </w:r>
          </w:p>
        </w:tc>
        <w:tc>
          <w:tcPr>
            <w:tcW w:type="dxa" w:w="2016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-4,25</w:t>
            </w:r>
          </w:p>
        </w:tc>
      </w:tr>
    </w:tbl>
    <w:p>
      <w:pPr>
        <w:spacing w:after="0"/>
      </w:pPr>
    </w:p>
    <w:p>
      <w:pPr>
        <w:spacing w:after="140"/>
      </w:pPr>
      <w:r>
        <w:rPr>
          <w:b/>
          <w:color w:val="17324D"/>
        </w:rPr>
        <w:t xml:space="preserve">Resposta </w:t>
      </w:r>
      <w:r>
        <w:t>Em termos quantitativos, o Torno 01 possui 5,25 horas livres e pode absorver o déficit de 4,25 horas. A transferência só é válida se o recurso puder executar a operação com o mesmo padrão técnico.</w:t>
      </w:r>
    </w:p>
    <w:p>
      <w:pPr>
        <w:spacing w:after="140"/>
      </w:pPr>
      <w:r>
        <w:rPr>
          <w:b/>
          <w:color w:val="17324D"/>
        </w:rPr>
        <w:t xml:space="preserve">Exemplo de solução </w:t>
      </w:r>
      <w:r>
        <w:t>Se a OP 005 puder ser dividida, transferir 22 das 40 unidades para o Torno 01 reduz a carga do Torno 02 para 19,85 horas. O Torno 01 recebe 0,75 hora de setup adicional e 4,40 horas de processamento, encerrando com 19,90 horas.</w:t>
      </w:r>
    </w:p>
    <w:p>
      <w:pPr>
        <w:spacing w:after="140"/>
      </w:pPr>
      <w:r>
        <w:rPr>
          <w:b/>
          <w:color w:val="17324D"/>
        </w:rPr>
        <w:t xml:space="preserve">Verificações obrigatórias </w:t>
      </w:r>
      <w:r>
        <w:t>Compatibilidade do roteiro, ferramental, programa, operador, inspeção, lote mínimo, setup duplicado e prazo.</w:t>
      </w:r>
    </w:p>
    <w:p>
      <w:pPr>
        <w:pStyle w:val="Heading2"/>
      </w:pPr>
      <w:r>
        <w:t>3.3 Resposta modelo para a atividade em grupos</w:t>
      </w:r>
    </w:p>
    <w:p>
      <w:pPr>
        <w:spacing w:after="140"/>
      </w:pPr>
      <w:r>
        <w:rPr>
          <w:b/>
          <w:color w:val="17324D"/>
        </w:rPr>
        <w:t xml:space="preserve">Ação escolhida </w:t>
      </w:r>
      <w:r>
        <w:t>Dividir a OP 005 e processar 22 unidades no Torno 01, desde que a transferência seja tecnicamente autorizada.</w:t>
      </w:r>
    </w:p>
    <w:p>
      <w:pPr>
        <w:spacing w:after="140"/>
      </w:pPr>
      <w:r>
        <w:rPr>
          <w:b/>
          <w:color w:val="17324D"/>
        </w:rPr>
        <w:t xml:space="preserve">Justificativa </w:t>
      </w:r>
      <w:r>
        <w:t>A divisão elimina a sobrecarga e mantém ambos os tornos abaixo de 20 horas. Transferir a OP 005 inteira apenas deslocaria a sobrecarga para o Torno 01.</w:t>
      </w:r>
    </w:p>
    <w:p>
      <w:pPr>
        <w:spacing w:after="140"/>
      </w:pPr>
      <w:r>
        <w:rPr>
          <w:b/>
          <w:color w:val="17324D"/>
        </w:rPr>
        <w:t xml:space="preserve">Dado adicional prioritário </w:t>
      </w:r>
      <w:r>
        <w:t>Confirmar se o Torno 01 possui ferramental, programa, capacidade de qualidade e operador qualificado para a operação da OP 005.</w:t>
      </w:r>
    </w:p>
    <w:p>
      <w:pPr>
        <w:pStyle w:val="Heading1"/>
      </w:pPr>
      <w:r>
        <w:t>4 Estudo de caso da fábrica de componentes</w:t>
      </w:r>
    </w:p>
    <w:p>
      <w:pPr>
        <w:pStyle w:val="Heading2"/>
      </w:pPr>
      <w:r>
        <w:t>4.1 Duração total dos pedidos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728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Pedido</w:t>
            </w:r>
          </w:p>
        </w:tc>
        <w:tc>
          <w:tcPr>
            <w:tcW w:type="dxa" w:w="1728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Prioridade</w:t>
            </w:r>
          </w:p>
        </w:tc>
        <w:tc>
          <w:tcPr>
            <w:tcW w:type="dxa" w:w="2016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Prazo dias</w:t>
            </w:r>
          </w:p>
        </w:tc>
        <w:tc>
          <w:tcPr>
            <w:tcW w:type="dxa" w:w="2160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Duração total h</w:t>
            </w:r>
          </w:p>
        </w:tc>
      </w:tr>
      <w:tr>
        <w:tc>
          <w:tcPr>
            <w:tcW w:type="dxa" w:w="17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P1</w:t>
            </w:r>
          </w:p>
        </w:tc>
        <w:tc>
          <w:tcPr>
            <w:tcW w:type="dxa" w:w="17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2</w:t>
            </w:r>
          </w:p>
        </w:tc>
        <w:tc>
          <w:tcPr>
            <w:tcW w:type="dxa" w:w="20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5</w:t>
            </w:r>
          </w:p>
        </w:tc>
        <w:tc>
          <w:tcPr>
            <w:tcW w:type="dxa" w:w="21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5,7</w:t>
            </w:r>
          </w:p>
        </w:tc>
      </w:tr>
      <w:tr>
        <w:tc>
          <w:tcPr>
            <w:tcW w:type="dxa" w:w="1728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P2</w:t>
            </w:r>
          </w:p>
        </w:tc>
        <w:tc>
          <w:tcPr>
            <w:tcW w:type="dxa" w:w="1728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1</w:t>
            </w:r>
          </w:p>
        </w:tc>
        <w:tc>
          <w:tcPr>
            <w:tcW w:type="dxa" w:w="2016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3</w:t>
            </w:r>
          </w:p>
        </w:tc>
        <w:tc>
          <w:tcPr>
            <w:tcW w:type="dxa" w:w="2160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4,2</w:t>
            </w:r>
          </w:p>
        </w:tc>
      </w:tr>
      <w:tr>
        <w:tc>
          <w:tcPr>
            <w:tcW w:type="dxa" w:w="17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P3</w:t>
            </w:r>
          </w:p>
        </w:tc>
        <w:tc>
          <w:tcPr>
            <w:tcW w:type="dxa" w:w="17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3</w:t>
            </w:r>
          </w:p>
        </w:tc>
        <w:tc>
          <w:tcPr>
            <w:tcW w:type="dxa" w:w="20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6</w:t>
            </w:r>
          </w:p>
        </w:tc>
        <w:tc>
          <w:tcPr>
            <w:tcW w:type="dxa" w:w="21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6,7</w:t>
            </w:r>
          </w:p>
        </w:tc>
      </w:tr>
      <w:tr>
        <w:tc>
          <w:tcPr>
            <w:tcW w:type="dxa" w:w="1728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P4</w:t>
            </w:r>
          </w:p>
        </w:tc>
        <w:tc>
          <w:tcPr>
            <w:tcW w:type="dxa" w:w="1728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1</w:t>
            </w:r>
          </w:p>
        </w:tc>
        <w:tc>
          <w:tcPr>
            <w:tcW w:type="dxa" w:w="2016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4</w:t>
            </w:r>
          </w:p>
        </w:tc>
        <w:tc>
          <w:tcPr>
            <w:tcW w:type="dxa" w:w="2160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5,0</w:t>
            </w:r>
          </w:p>
        </w:tc>
      </w:tr>
      <w:tr>
        <w:tc>
          <w:tcPr>
            <w:tcW w:type="dxa" w:w="17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P5</w:t>
            </w:r>
          </w:p>
        </w:tc>
        <w:tc>
          <w:tcPr>
            <w:tcW w:type="dxa" w:w="17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2</w:t>
            </w:r>
          </w:p>
        </w:tc>
        <w:tc>
          <w:tcPr>
            <w:tcW w:type="dxa" w:w="20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5</w:t>
            </w:r>
          </w:p>
        </w:tc>
        <w:tc>
          <w:tcPr>
            <w:tcW w:type="dxa" w:w="21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9"/>
              </w:rPr>
              <w:t>7,2</w:t>
            </w:r>
          </w:p>
        </w:tc>
      </w:tr>
    </w:tbl>
    <w:p>
      <w:pPr>
        <w:spacing w:after="0"/>
      </w:pPr>
    </w:p>
    <w:p>
      <w:pPr>
        <w:spacing w:after="140"/>
      </w:pPr>
      <w:r>
        <w:rPr>
          <w:b/>
          <w:color w:val="17324D"/>
        </w:rPr>
        <w:t xml:space="preserve">Sequência </w:t>
      </w:r>
      <w:r>
        <w:t>P2 - P4 - P1 - P5 - P3. A prioridade menor representa maior urgência. O prazo desempata P2 e P4. P1 e P5 mantêm a ordem original porque possuem a mesma prioridade e o mesmo prazo.</w:t>
      </w:r>
    </w:p>
    <w:p>
      <w:pPr>
        <w:pStyle w:val="Heading2"/>
      </w:pPr>
      <w:r>
        <w:t>4.2 Início término e atraso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tblHeader w:val="true"/>
        </w:trPr>
        <w:tc>
          <w:tcPr>
            <w:tcW w:type="dxa" w:w="936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Ordem</w:t>
            </w:r>
          </w:p>
        </w:tc>
        <w:tc>
          <w:tcPr>
            <w:tcW w:type="dxa" w:w="1080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Pedido</w:t>
            </w:r>
          </w:p>
        </w:tc>
        <w:tc>
          <w:tcPr>
            <w:tcW w:type="dxa" w:w="1296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Duração h</w:t>
            </w:r>
          </w:p>
        </w:tc>
        <w:tc>
          <w:tcPr>
            <w:tcW w:type="dxa" w:w="1296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Início h</w:t>
            </w:r>
          </w:p>
        </w:tc>
        <w:tc>
          <w:tcPr>
            <w:tcW w:type="dxa" w:w="1440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Término h</w:t>
            </w:r>
          </w:p>
        </w:tc>
        <w:tc>
          <w:tcPr>
            <w:tcW w:type="dxa" w:w="1224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Prazo h</w:t>
            </w:r>
          </w:p>
        </w:tc>
        <w:tc>
          <w:tcPr>
            <w:tcW w:type="dxa" w:w="1224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Atraso h</w:t>
            </w:r>
          </w:p>
        </w:tc>
      </w:tr>
      <w:tr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1</w:t>
            </w:r>
          </w:p>
        </w:tc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P2</w:t>
            </w:r>
          </w:p>
        </w:tc>
        <w:tc>
          <w:tcPr>
            <w:tcW w:type="dxa" w:w="12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4,2</w:t>
            </w:r>
          </w:p>
        </w:tc>
        <w:tc>
          <w:tcPr>
            <w:tcW w:type="dxa" w:w="12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0,0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4,2</w:t>
            </w:r>
          </w:p>
        </w:tc>
        <w:tc>
          <w:tcPr>
            <w:tcW w:type="dxa" w:w="12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24</w:t>
            </w:r>
          </w:p>
        </w:tc>
        <w:tc>
          <w:tcPr>
            <w:tcW w:type="dxa" w:w="12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0</w:t>
            </w:r>
          </w:p>
        </w:tc>
      </w:tr>
      <w:tr>
        <w:tc>
          <w:tcPr>
            <w:tcW w:type="dxa" w:w="936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2</w:t>
            </w:r>
          </w:p>
        </w:tc>
        <w:tc>
          <w:tcPr>
            <w:tcW w:type="dxa" w:w="1080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P4</w:t>
            </w:r>
          </w:p>
        </w:tc>
        <w:tc>
          <w:tcPr>
            <w:tcW w:type="dxa" w:w="1296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5,0</w:t>
            </w:r>
          </w:p>
        </w:tc>
        <w:tc>
          <w:tcPr>
            <w:tcW w:type="dxa" w:w="1296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4,2</w:t>
            </w:r>
          </w:p>
        </w:tc>
        <w:tc>
          <w:tcPr>
            <w:tcW w:type="dxa" w:w="1440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9,2</w:t>
            </w:r>
          </w:p>
        </w:tc>
        <w:tc>
          <w:tcPr>
            <w:tcW w:type="dxa" w:w="1224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32</w:t>
            </w:r>
          </w:p>
        </w:tc>
        <w:tc>
          <w:tcPr>
            <w:tcW w:type="dxa" w:w="1224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0</w:t>
            </w:r>
          </w:p>
        </w:tc>
      </w:tr>
      <w:tr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3</w:t>
            </w:r>
          </w:p>
        </w:tc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P1</w:t>
            </w:r>
          </w:p>
        </w:tc>
        <w:tc>
          <w:tcPr>
            <w:tcW w:type="dxa" w:w="12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5,7</w:t>
            </w:r>
          </w:p>
        </w:tc>
        <w:tc>
          <w:tcPr>
            <w:tcW w:type="dxa" w:w="12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9,2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14,9</w:t>
            </w:r>
          </w:p>
        </w:tc>
        <w:tc>
          <w:tcPr>
            <w:tcW w:type="dxa" w:w="12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40</w:t>
            </w:r>
          </w:p>
        </w:tc>
        <w:tc>
          <w:tcPr>
            <w:tcW w:type="dxa" w:w="12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0</w:t>
            </w:r>
          </w:p>
        </w:tc>
      </w:tr>
      <w:tr>
        <w:tc>
          <w:tcPr>
            <w:tcW w:type="dxa" w:w="936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4</w:t>
            </w:r>
          </w:p>
        </w:tc>
        <w:tc>
          <w:tcPr>
            <w:tcW w:type="dxa" w:w="1080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P5</w:t>
            </w:r>
          </w:p>
        </w:tc>
        <w:tc>
          <w:tcPr>
            <w:tcW w:type="dxa" w:w="1296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7,2</w:t>
            </w:r>
          </w:p>
        </w:tc>
        <w:tc>
          <w:tcPr>
            <w:tcW w:type="dxa" w:w="1296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14,9</w:t>
            </w:r>
          </w:p>
        </w:tc>
        <w:tc>
          <w:tcPr>
            <w:tcW w:type="dxa" w:w="1440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22,1</w:t>
            </w:r>
          </w:p>
        </w:tc>
        <w:tc>
          <w:tcPr>
            <w:tcW w:type="dxa" w:w="1224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40</w:t>
            </w:r>
          </w:p>
        </w:tc>
        <w:tc>
          <w:tcPr>
            <w:tcW w:type="dxa" w:w="1224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0</w:t>
            </w:r>
          </w:p>
        </w:tc>
      </w:tr>
      <w:tr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5</w:t>
            </w:r>
          </w:p>
        </w:tc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P3</w:t>
            </w:r>
          </w:p>
        </w:tc>
        <w:tc>
          <w:tcPr>
            <w:tcW w:type="dxa" w:w="12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6,7</w:t>
            </w:r>
          </w:p>
        </w:tc>
        <w:tc>
          <w:tcPr>
            <w:tcW w:type="dxa" w:w="12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22,1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28,8</w:t>
            </w:r>
          </w:p>
        </w:tc>
        <w:tc>
          <w:tcPr>
            <w:tcW w:type="dxa" w:w="12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48</w:t>
            </w:r>
          </w:p>
        </w:tc>
        <w:tc>
          <w:tcPr>
            <w:tcW w:type="dxa" w:w="12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0</w:t>
            </w:r>
          </w:p>
        </w:tc>
      </w:tr>
    </w:tbl>
    <w:p>
      <w:pPr>
        <w:spacing w:after="0"/>
      </w:pPr>
    </w:p>
    <w:p>
      <w:pPr>
        <w:spacing w:after="140"/>
      </w:pPr>
      <w:r>
        <w:rPr>
          <w:b/>
          <w:color w:val="17324D"/>
        </w:rPr>
        <w:t xml:space="preserve">Resultado </w:t>
      </w:r>
      <w:r>
        <w:t>O makespan simplificado é 28,8 horas e todos os pedidos ficam dentro dos prazos convertidos para jornadas de oito horas.</w:t>
      </w:r>
    </w:p>
    <w:p>
      <w:pPr>
        <w:pStyle w:val="Heading2"/>
      </w:pPr>
      <w:r>
        <w:t>4.3 Carga por máquina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1440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Máquina</w:t>
            </w:r>
          </w:p>
        </w:tc>
        <w:tc>
          <w:tcPr>
            <w:tcW w:type="dxa" w:w="1440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Carga h</w:t>
            </w:r>
          </w:p>
        </w:tc>
        <w:tc>
          <w:tcPr>
            <w:tcW w:type="dxa" w:w="1728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Capacidade h</w:t>
            </w:r>
          </w:p>
        </w:tc>
        <w:tc>
          <w:tcPr>
            <w:tcW w:type="dxa" w:w="2088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Utilização</w:t>
            </w:r>
          </w:p>
        </w:tc>
        <w:tc>
          <w:tcPr>
            <w:tcW w:type="dxa" w:w="2880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Diagnóstico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8"/>
              </w:rPr>
              <w:t>M1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10,4</w:t>
            </w:r>
          </w:p>
        </w:tc>
        <w:tc>
          <w:tcPr>
            <w:tcW w:type="dxa" w:w="17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40</w:t>
            </w:r>
          </w:p>
        </w:tc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26,0 por cento</w:t>
            </w:r>
          </w:p>
        </w:tc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8"/>
              </w:rPr>
              <w:t>maior carga, sem restrição</w:t>
            </w:r>
          </w:p>
        </w:tc>
      </w:tr>
      <w:tr>
        <w:tc>
          <w:tcPr>
            <w:tcW w:type="dxa" w:w="1440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8"/>
              </w:rPr>
              <w:t>M2</w:t>
            </w:r>
          </w:p>
        </w:tc>
        <w:tc>
          <w:tcPr>
            <w:tcW w:type="dxa" w:w="1440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8,9</w:t>
            </w:r>
          </w:p>
        </w:tc>
        <w:tc>
          <w:tcPr>
            <w:tcW w:type="dxa" w:w="1728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40</w:t>
            </w:r>
          </w:p>
        </w:tc>
        <w:tc>
          <w:tcPr>
            <w:tcW w:type="dxa" w:w="2088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22,3 por cento</w:t>
            </w:r>
          </w:p>
        </w:tc>
        <w:tc>
          <w:tcPr>
            <w:tcW w:type="dxa" w:w="2880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8"/>
              </w:rPr>
              <w:t>capacidade disponível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8"/>
              </w:rPr>
              <w:t>M3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9,5</w:t>
            </w:r>
          </w:p>
        </w:tc>
        <w:tc>
          <w:tcPr>
            <w:tcW w:type="dxa" w:w="17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40</w:t>
            </w:r>
          </w:p>
        </w:tc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23,8 por cento</w:t>
            </w:r>
          </w:p>
        </w:tc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8"/>
              </w:rPr>
              <w:t>capacidade disponível</w:t>
            </w:r>
          </w:p>
        </w:tc>
      </w:tr>
    </w:tbl>
    <w:p>
      <w:pPr>
        <w:spacing w:after="0"/>
      </w:pPr>
    </w:p>
    <w:p>
      <w:pPr>
        <w:spacing w:after="140"/>
      </w:pPr>
      <w:r>
        <w:rPr>
          <w:b/>
          <w:color w:val="17324D"/>
        </w:rPr>
        <w:t xml:space="preserve">Decisão imediata </w:t>
      </w:r>
      <w:r>
        <w:t>Nenhuma máquina apresenta sobrecarga agregada. A M1 merece acompanhamento por ser a mais carregada, mas não exige hora extra neste cenário.</w:t>
      </w:r>
    </w:p>
    <w:p>
      <w:pPr>
        <w:pStyle w:val="Heading2"/>
      </w:pPr>
      <w:r>
        <w:t>4.4 A máquina mais carregada é sempre gargalo</w:t>
      </w:r>
    </w:p>
    <w:p>
      <w:pPr>
        <w:spacing w:after="140"/>
      </w:pPr>
      <w:r>
        <w:rPr>
          <w:b/>
          <w:color w:val="17324D"/>
        </w:rPr>
        <w:t xml:space="preserve">Resposta </w:t>
      </w:r>
      <w:r>
        <w:t>Não. Um gargalo depende da relação entre carga e capacidade e também da posição do recurso nas precedências. A M1 tem a maior carga do caso, mas utiliza apenas 26 por cento da capacidade semanal.</w:t>
      </w:r>
    </w:p>
    <w:p>
      <w:pPr>
        <w:spacing w:after="140"/>
      </w:pPr>
      <w:r>
        <w:rPr>
          <w:b/>
          <w:color w:val="17324D"/>
        </w:rPr>
        <w:t xml:space="preserve">Limitação do exercício </w:t>
      </w:r>
      <w:r>
        <w:t>A soma agregada não representa todos os conflitos simultâneos entre operações. Antes de publicar o programa, o PCP deve montar um cronograma finito por máquina e respeitar as precedências de cada pedido.</w:t>
      </w:r>
    </w:p>
    <w:p>
      <w:pPr>
        <w:pStyle w:val="Heading1"/>
      </w:pPr>
      <w:r>
        <w:t>5 Questão de fechamento</w:t>
      </w:r>
    </w:p>
    <w:p>
      <w:pPr>
        <w:spacing w:after="140"/>
      </w:pPr>
      <w:r>
        <w:rPr>
          <w:b/>
          <w:color w:val="17324D"/>
        </w:rPr>
        <w:t xml:space="preserve">Pergunta </w:t>
      </w:r>
      <w:r>
        <w:t>Qual decisão mudaria primeiro se uma máquina quebrasse durante o turno?</w:t>
      </w:r>
    </w:p>
    <w:p>
      <w:pPr>
        <w:spacing w:after="140"/>
      </w:pPr>
      <w:r>
        <w:rPr>
          <w:b/>
          <w:color w:val="17324D"/>
        </w:rPr>
        <w:t xml:space="preserve">Resposta esperada </w:t>
      </w:r>
      <w:r>
        <w:t>A primeira mudança ocorre na capacidade disponível e no carregamento finito. O PCP precisa retirar o período de indisponibilidade, recalcular a carga e identificar as ordens afetadas. Em seguida, deve resequenciar, transferir operações elegíveis ou renegociar prazos.</w:t>
      </w:r>
    </w:p>
    <w:p>
      <w:pPr>
        <w:pStyle w:val="ListBullet"/>
        <w:spacing w:after="60"/>
      </w:pPr>
      <w:r>
        <w:t>atualizar o calendário do recurso e o tempo estimado de reparo</w:t>
      </w:r>
    </w:p>
    <w:p>
      <w:pPr>
        <w:pStyle w:val="ListBullet"/>
        <w:spacing w:after="60"/>
      </w:pPr>
      <w:r>
        <w:t>recalcular início, término, filas, atrasos e utilização</w:t>
      </w:r>
    </w:p>
    <w:p>
      <w:pPr>
        <w:pStyle w:val="ListBullet"/>
        <w:spacing w:after="60"/>
      </w:pPr>
      <w:r>
        <w:t>proteger pedidos críticos e comunicar o novo programa à produção e às áreas comerciais</w:t>
      </w:r>
    </w:p>
    <w:p>
      <w:r>
        <w:br w:type="page"/>
      </w:r>
    </w:p>
    <w:p>
      <w:pPr>
        <w:pStyle w:val="Heading1"/>
      </w:pPr>
      <w:r>
        <w:t>6 Critérios sugeridos para correção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160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Dimensão</w:t>
            </w:r>
          </w:p>
        </w:tc>
        <w:tc>
          <w:tcPr>
            <w:tcW w:type="dxa" w:w="5760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Evidência esperada</w:t>
            </w:r>
          </w:p>
        </w:tc>
        <w:tc>
          <w:tcPr>
            <w:tcW w:type="dxa" w:w="1440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Peso sugerido</w:t>
            </w:r>
          </w:p>
        </w:tc>
      </w:tr>
      <w:tr>
        <w:tc>
          <w:tcPr>
            <w:tcW w:type="dxa" w:w="21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8"/>
              </w:rPr>
              <w:t>Restrições operacionais</w:t>
            </w:r>
          </w:p>
        </w:tc>
        <w:tc>
          <w:tcPr>
            <w:tcW w:type="dxa" w:w="57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8"/>
              </w:rPr>
              <w:t>distingue máquina disponível de ordem liberada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1,0</w:t>
            </w:r>
          </w:p>
        </w:tc>
      </w:tr>
      <w:tr>
        <w:tc>
          <w:tcPr>
            <w:tcW w:type="dxa" w:w="2160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8"/>
              </w:rPr>
              <w:t>Carga do roteiro</w:t>
            </w:r>
          </w:p>
        </w:tc>
        <w:tc>
          <w:tcPr>
            <w:tcW w:type="dxa" w:w="5760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8"/>
              </w:rPr>
              <w:t>calcula 1.300 min, déficit de 340 min e interpreta a capacidade</w:t>
            </w:r>
          </w:p>
        </w:tc>
        <w:tc>
          <w:tcPr>
            <w:tcW w:type="dxa" w:w="1440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1,0</w:t>
            </w:r>
          </w:p>
        </w:tc>
      </w:tr>
      <w:tr>
        <w:tc>
          <w:tcPr>
            <w:tcW w:type="dxa" w:w="21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8"/>
              </w:rPr>
              <w:t>Sequências</w:t>
            </w:r>
          </w:p>
        </w:tc>
        <w:tc>
          <w:tcPr>
            <w:tcW w:type="dxa" w:w="57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8"/>
              </w:rPr>
              <w:t>monta corretamente FIFO, MTP, MDE e MFE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2,0</w:t>
            </w:r>
          </w:p>
        </w:tc>
      </w:tr>
      <w:tr>
        <w:tc>
          <w:tcPr>
            <w:tcW w:type="dxa" w:w="2160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8"/>
              </w:rPr>
              <w:t>Indicadores</w:t>
            </w:r>
          </w:p>
        </w:tc>
        <w:tc>
          <w:tcPr>
            <w:tcW w:type="dxa" w:w="5760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8"/>
              </w:rPr>
              <w:t>calcula ou interpreta fluxo e atraso sem confundir os conceitos</w:t>
            </w:r>
          </w:p>
        </w:tc>
        <w:tc>
          <w:tcPr>
            <w:tcW w:type="dxa" w:w="1440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1,5</w:t>
            </w:r>
          </w:p>
        </w:tc>
      </w:tr>
      <w:tr>
        <w:tc>
          <w:tcPr>
            <w:tcW w:type="dxa" w:w="21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8"/>
              </w:rPr>
              <w:t>Decisão de capacidade</w:t>
            </w:r>
          </w:p>
        </w:tc>
        <w:tc>
          <w:tcPr>
            <w:tcW w:type="dxa" w:w="57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8"/>
              </w:rPr>
              <w:t>compara alternativas e explicita a condição técnica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1,5</w:t>
            </w:r>
          </w:p>
        </w:tc>
      </w:tr>
      <w:tr>
        <w:tc>
          <w:tcPr>
            <w:tcW w:type="dxa" w:w="2160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8"/>
              </w:rPr>
              <w:t>Estudo de caso</w:t>
            </w:r>
          </w:p>
        </w:tc>
        <w:tc>
          <w:tcPr>
            <w:tcW w:type="dxa" w:w="5760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8"/>
              </w:rPr>
              <w:t>obtém durações, sequência, términos e ausência de atraso</w:t>
            </w:r>
          </w:p>
        </w:tc>
        <w:tc>
          <w:tcPr>
            <w:tcW w:type="dxa" w:w="1440"/>
            <w:shd w:fill="F5F7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2,0</w:t>
            </w:r>
          </w:p>
        </w:tc>
      </w:tr>
      <w:tr>
        <w:tc>
          <w:tcPr>
            <w:tcW w:type="dxa" w:w="21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8"/>
              </w:rPr>
              <w:t>Gargalo e reação</w:t>
            </w:r>
          </w:p>
        </w:tc>
        <w:tc>
          <w:tcPr>
            <w:tcW w:type="dxa" w:w="57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7324D"/>
                <w:sz w:val="18"/>
              </w:rPr>
              <w:t>relaciona carga, capacidade, precedência e reprogramação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17324D"/>
                <w:sz w:val="18"/>
              </w:rPr>
              <w:t>1,0</w:t>
            </w:r>
          </w:p>
        </w:tc>
      </w:tr>
    </w:tbl>
    <w:p>
      <w:pPr>
        <w:spacing w:after="0"/>
      </w:pPr>
    </w:p>
    <w:p>
      <w:pPr>
        <w:spacing w:after="140"/>
      </w:pPr>
      <w:r>
        <w:rPr>
          <w:b/>
          <w:color w:val="17324D"/>
        </w:rPr>
        <w:t xml:space="preserve">Total sugerido </w:t>
      </w:r>
      <w:r>
        <w:t>10,0 pontos. A pontuação pode ser adaptada conforme a atividade aplicada em sala.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87786"/>
        <w:sz w:val="16"/>
      </w:rPr>
      <w:t>Administração da Produção   Aula 7   Gabarito docente</w:t>
    </w:r>
  </w:p>
  <w:p>
    <w:pPr>
      <w:jc w:val="right"/>
    </w:pPr>
    <w:r>
      <w:t xml:space="preserve">Página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Gabarito das atividades da Aula 7</dc:title>
  <dc:subject>Programação da produção</dc:subject>
  <dc:creator>Renata Oliveira</dc:creator>
  <cp:keywords>PCP, sequenciamento, carga de máquinas, gabarito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