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20" w:before="300"/>
      </w:pPr>
      <w:r>
        <w:rPr>
          <w:b/>
          <w:bCs/>
          <w:color w:val="1F3864"/>
          <w:sz w:val="26"/>
          <w:szCs w:val="26"/>
        </w:rPr>
        <w:t xml:space="preserve">1. Escopo</w:t>
      </w:r>
    </w:p>
    <w:p>
      <w:pPr>
        <w:pStyle w:val="ListParagraph"/>
        <w:numPr>
          <w:ilvl w:val="0"/>
          <w:numId w:val="1"/>
        </w:numPr>
        <w:spacing w:after="60"/>
      </w:pPr>
      <w:r>
        <w:rPr>
          <w:sz w:val="21"/>
          <w:szCs w:val="21"/>
        </w:rPr>
        <w:t xml:space="preserve">Atualização, correção ou validação de dados cadastrais dos clientes.</w:t>
      </w:r>
    </w:p>
    <w:p>
      <w:pPr>
        <w:pStyle w:val="ListParagraph"/>
        <w:numPr>
          <w:ilvl w:val="0"/>
          <w:numId w:val="1"/>
        </w:numPr>
        <w:spacing w:after="60"/>
      </w:pPr>
      <w:r>
        <w:rPr>
          <w:sz w:val="21"/>
          <w:szCs w:val="21"/>
        </w:rPr>
        <w:t xml:space="preserve">Recuperação de acesso ao aplicativo.</w:t>
      </w:r>
    </w:p>
    <w:p>
      <w:pPr>
        <w:pStyle w:val="ListParagraph"/>
        <w:numPr>
          <w:ilvl w:val="0"/>
          <w:numId w:val="1"/>
        </w:numPr>
        <w:spacing w:after="60"/>
      </w:pPr>
      <w:r>
        <w:rPr>
          <w:sz w:val="21"/>
          <w:szCs w:val="21"/>
        </w:rPr>
        <w:t xml:space="preserve">Alteração de e-mail.</w:t>
      </w:r>
    </w:p>
    <w:p>
      <w:pPr>
        <w:pStyle w:val="ListParagraph"/>
        <w:numPr>
          <w:ilvl w:val="0"/>
          <w:numId w:val="1"/>
        </w:numPr>
        <w:spacing w:after="60"/>
      </w:pPr>
      <w:r>
        <w:rPr>
          <w:sz w:val="21"/>
          <w:szCs w:val="21"/>
        </w:rPr>
        <w:t xml:space="preserve">Alteração de telefone.</w:t>
      </w:r>
    </w:p>
    <w:p>
      <w:pPr>
        <w:pStyle w:val="ListParagraph"/>
        <w:numPr>
          <w:ilvl w:val="0"/>
          <w:numId w:val="1"/>
        </w:numPr>
        <w:spacing w:after="60"/>
      </w:pPr>
      <w:r>
        <w:rPr>
          <w:sz w:val="21"/>
          <w:szCs w:val="21"/>
        </w:rPr>
        <w:t xml:space="preserve">Correção ou atualização de nome.</w:t>
      </w:r>
    </w:p>
    <w:p>
      <w:pPr>
        <w:pStyle w:val="ListParagraph"/>
        <w:numPr>
          <w:ilvl w:val="0"/>
          <w:numId w:val="1"/>
        </w:numPr>
        <w:spacing w:after="60"/>
      </w:pPr>
      <w:r>
        <w:rPr>
          <w:sz w:val="21"/>
          <w:szCs w:val="21"/>
        </w:rPr>
        <w:t xml:space="preserve">Correção de data de nascimento.</w:t>
      </w:r>
    </w:p>
    <w:p>
      <w:pPr>
        <w:pStyle w:val="ListParagraph"/>
        <w:numPr>
          <w:ilvl w:val="0"/>
          <w:numId w:val="1"/>
        </w:numPr>
        <w:spacing w:after="60"/>
      </w:pPr>
      <w:r>
        <w:rPr>
          <w:sz w:val="21"/>
          <w:szCs w:val="21"/>
        </w:rPr>
        <w:t xml:space="preserve">Tratamento de situações envolvendo número de telefone vinculado incorretamente a outra conta.</w:t>
      </w:r>
    </w:p>
    <w:p>
      <w:pPr>
        <w:pStyle w:val="Heading1"/>
        <w:pBdr>
          <w:bottom w:val="single" w:color="1F3864" w:sz="6" w:space="4"/>
        </w:pBdr>
        <w:spacing w:after="120" w:before="300"/>
      </w:pPr>
      <w:r>
        <w:rPr>
          <w:b/>
          <w:bCs/>
          <w:color w:val="1F3864"/>
          <w:sz w:val="26"/>
          <w:szCs w:val="26"/>
        </w:rPr>
        <w:t xml:space="preserve">2. Fluxo de Atendimento (completo)</w:t>
      </w:r>
    </w:p>
    <w:p>
      <w:pPr>
        <w:spacing w:after="120"/>
      </w:pPr>
      <w:r>
        <w:rPr>
          <w:sz w:val="21"/>
          <w:szCs w:val="21"/>
        </w:rPr>
        <w:t xml:space="preserve">Sequência integral das 21 etapas do atendimento, com responsável, prazo e todas as tabulações de encerramento a serem aplicadas em cada ponto de finalização.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800"/>
        <w:gridCol w:w="13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ETAPA</w:t>
            </w:r>
          </w:p>
        </w:tc>
        <w:tc>
          <w:tcPr>
            <w:tcW w:type="dxa" w:w="4600"/>
            <w:shd w:fill="1F3864" w:color="auto" w:val="clear"/>
            <w:tcMar>
              <w:top w:type="dxa" w:w="80"/>
              <w:left w:type="dxa" w:w="100"/>
              <w:bottom w:type="dxa" w:w="80"/>
              <w:right w:type="dxa" w:w="100"/>
            </w:tcMar>
            <w:vAlign w:val="center"/>
          </w:tcPr>
          <w:p>
            <w:r>
              <w:rPr>
                <w:b/>
                <w:bCs/>
                <w:color w:val="FFFFFF"/>
                <w:sz w:val="19"/>
                <w:szCs w:val="19"/>
              </w:rPr>
              <w:t xml:space="preserve">ATIVIDADE / DECISÃO</w:t>
            </w:r>
          </w:p>
        </w:tc>
        <w:tc>
          <w:tcPr>
            <w:tcW w:type="dxa" w:w="1800"/>
            <w:shd w:fill="1F3864" w:color="auto" w:val="clear"/>
            <w:tcMar>
              <w:top w:type="dxa" w:w="80"/>
              <w:left w:type="dxa" w:w="100"/>
              <w:bottom w:type="dxa" w:w="80"/>
              <w:right w:type="dxa" w:w="100"/>
            </w:tcMar>
            <w:vAlign w:val="center"/>
          </w:tcPr>
          <w:p>
            <w:r>
              <w:rPr>
                <w:b/>
                <w:bCs/>
                <w:color w:val="FFFFFF"/>
                <w:sz w:val="19"/>
                <w:szCs w:val="19"/>
              </w:rPr>
              <w:t xml:space="preserve">RESPONSÁVEL</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PRAZO</w:t>
            </w:r>
          </w:p>
        </w:tc>
      </w:tr>
      <w:tr>
        <w:tc>
          <w:tcPr>
            <w:tcW w:type="dxa" w:w="700"/>
            <w:tcMar>
              <w:top w:type="dxa" w:w="80"/>
              <w:left w:type="dxa" w:w="100"/>
              <w:bottom w:type="dxa" w:w="80"/>
              <w:right w:type="dxa" w:w="100"/>
            </w:tcMar>
            <w:vAlign w:val="center"/>
          </w:tcPr>
          <w:p>
            <w:r>
              <w:rPr>
                <w:b/>
                <w:bCs/>
                <w:color w:val="000000"/>
                <w:sz w:val="19"/>
                <w:szCs w:val="19"/>
              </w:rPr>
              <w:t xml:space="preserve">1</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Receber o contato do cliente e identificar a solicitação relacionada à atualização cadastral.</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2</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Identificar qual informação o cliente deseja alterar ou corrigir.</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3</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Solicitar ao cliente a informação atualmente cadastrada e a nova informação a ser registrada, validando claramente qual alteração deverá ser realizada.</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4</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Consultar as informações disponíveis nos sistemas oficiais para validação da solicitação.</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5</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Verificar se a solicitação se refere à alteração de e-mail, telefone, nome ou data de nascimento.</w:t>
            </w:r>
          </w:p>
          <w:p>
            <w:pPr>
              <w:spacing w:after="40"/>
            </w:pPr>
            <w:r>
              <w:rPr>
                <w:b w:val="false"/>
                <w:bCs w:val="false"/>
                <w:color w:val="000000"/>
                <w:sz w:val="19"/>
                <w:szCs w:val="19"/>
              </w:rPr>
              <w:t xml:space="preserve">• Caso seja alteração de e-mail, prosseguir para a etapa 6.</w:t>
            </w:r>
          </w:p>
          <w:p>
            <w:pPr>
              <w:spacing w:after="40"/>
            </w:pPr>
            <w:r>
              <w:rPr>
                <w:b w:val="false"/>
                <w:bCs w:val="false"/>
                <w:color w:val="000000"/>
                <w:sz w:val="19"/>
                <w:szCs w:val="19"/>
              </w:rPr>
              <w:t xml:space="preserve">• Caso seja alteração de telefone, prosseguir para a etapa 10.</w:t>
            </w:r>
          </w:p>
          <w:p>
            <w:pPr>
              <w:spacing w:after="40"/>
            </w:pPr>
            <w:r>
              <w:rPr>
                <w:b w:val="false"/>
                <w:bCs w:val="false"/>
                <w:color w:val="000000"/>
                <w:sz w:val="19"/>
                <w:szCs w:val="19"/>
              </w:rPr>
              <w:t xml:space="preserve">• Caso seja alteração de nome ou data de nascimento, prosseguir para a etapa 14.</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6</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Caso a solicitação seja relacionada à alteração de e-mail ou recuperação de acesso ao aplicativo, solicitar ao cliente o e-mail atualmente cadastrado, o novo e-mail a ser registrado, uma selfie segurando documento oficial (RG, CNH ou Carteira de Trabalho atualizada) com foto ao lado do rosto e foto do documento frente e verso.</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7</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Validar se os documentos encaminhados estão legíveis, compatíveis com os dados do cadastro e aptos para confirmação da identidade do solicitante. Caso existem divergências ou documentos ilegíveis, solicitar novo envio.</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8</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Registrar abertura de WorkFlow para atualização do e-mail cadastral enviada ao time de Produtos.</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9</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Informar ao cliente que a solicitação será analisada e processada em até 24 horas e registrar o atendimento com a tabulação.</w:t>
            </w:r>
          </w:p>
          <w:p>
            <w:pPr>
              <w:spacing w:after="40"/>
            </w:pPr>
            <w:r>
              <w:rPr>
                <w:b w:val="false"/>
                <w:bCs w:val="false"/>
                <w:color w:val="000000"/>
                <w:sz w:val="19"/>
                <w:szCs w:val="19"/>
              </w:rPr>
              <w:t xml:space="preserve">TABULAÇÃO: Produto: Conta Velotax &gt; Motivo: Atualização Cadastral &gt; Detalhe: Alteração de E-mail e/ou Telefone.</w:t>
            </w:r>
          </w:p>
        </w:tc>
        <w:tc>
          <w:tcPr>
            <w:tcW w:type="dxa" w:w="1800"/>
            <w:tcMar>
              <w:top w:type="dxa" w:w="80"/>
              <w:left w:type="dxa" w:w="100"/>
              <w:bottom w:type="dxa" w:w="80"/>
              <w:right w:type="dxa" w:w="100"/>
            </w:tcMar>
            <w:vAlign w:val="center"/>
          </w:tcPr>
          <w:p>
            <w:r>
              <w:rPr>
                <w:b w:val="false"/>
                <w:bCs w:val="false"/>
                <w:color w:val="000000"/>
                <w:sz w:val="19"/>
                <w:szCs w:val="19"/>
              </w:rPr>
              <w:t xml:space="preserve">Produtos</w:t>
            </w:r>
          </w:p>
        </w:tc>
        <w:tc>
          <w:tcPr>
            <w:tcW w:type="dxa" w:w="1300"/>
            <w:tcMar>
              <w:top w:type="dxa" w:w="80"/>
              <w:left w:type="dxa" w:w="100"/>
              <w:bottom w:type="dxa" w:w="80"/>
              <w:right w:type="dxa" w:w="100"/>
            </w:tcMar>
            <w:vAlign w:val="center"/>
          </w:tcPr>
          <w:p>
            <w:r>
              <w:rPr>
                <w:b w:val="false"/>
                <w:bCs w:val="false"/>
                <w:color w:val="000000"/>
                <w:sz w:val="19"/>
                <w:szCs w:val="19"/>
              </w:rPr>
              <w:t xml:space="preserve">24 Horas</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10</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Caso a solicitação seja relacionada à alteração de telefone ou número vinculado a outro cadastro, solicitar ao cliente o número atualmente cadastrado, o número que deverá ser vinculado ao cadastro e evidência de titularidade da linha telefônica por meio do aplicativo oficial da operadora.</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11</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Validar se a evidência apresentada demonstra que o número informado está vinculado ao nome ou CPF do cliente. Caso não seja possível validar a titularidade da linha, solicitar novo envio da evidência.</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12</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Registrar abertura de WorwFlow para atualização ou desvinculação do telefone enviada ao time de Produtos.</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13</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Informar ao cliente que a solicitação será analisada e processada em até 24 horas.</w:t>
            </w:r>
          </w:p>
        </w:tc>
        <w:tc>
          <w:tcPr>
            <w:tcW w:type="dxa" w:w="1800"/>
            <w:tcMar>
              <w:top w:type="dxa" w:w="80"/>
              <w:left w:type="dxa" w:w="100"/>
              <w:bottom w:type="dxa" w:w="80"/>
              <w:right w:type="dxa" w:w="100"/>
            </w:tcMar>
            <w:vAlign w:val="center"/>
          </w:tcPr>
          <w:p>
            <w:r>
              <w:rPr>
                <w:b w:val="false"/>
                <w:bCs w:val="false"/>
                <w:color w:val="000000"/>
                <w:sz w:val="19"/>
                <w:szCs w:val="19"/>
              </w:rPr>
              <w:t xml:space="preserve">Produtos</w:t>
            </w:r>
          </w:p>
        </w:tc>
        <w:tc>
          <w:tcPr>
            <w:tcW w:type="dxa" w:w="1300"/>
            <w:tcMar>
              <w:top w:type="dxa" w:w="80"/>
              <w:left w:type="dxa" w:w="100"/>
              <w:bottom w:type="dxa" w:w="80"/>
              <w:right w:type="dxa" w:w="100"/>
            </w:tcMar>
            <w:vAlign w:val="center"/>
          </w:tcPr>
          <w:p>
            <w:r>
              <w:rPr>
                <w:b w:val="false"/>
                <w:bCs w:val="false"/>
                <w:color w:val="000000"/>
                <w:sz w:val="19"/>
                <w:szCs w:val="19"/>
              </w:rPr>
              <w:t xml:space="preserve">24 Horas</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14</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Caso a solicitação seja relacionada à alteração de nome ou data de nascimento, confirmar com o cliente qual informação está incorreta e qual informação deverá constar após a atualização.</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15</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Consultar o Comprovante de Situação Cadastral no CPF, disponibilizado pela Receita Federal por meio do Ministério da Fazenda, e validar as informações de nome e data de nascimento apresentadas na base oficial.</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16</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Validar as informações retornadas pela consulta e registrar evidência da validação em anotação interna do atendimento.</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17</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Registrar requisição para atualização cadastral conforme procedimento vigente.</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18</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Informar ao cliente que a solicitação será analisada e processada em até 24 horas.</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Produtos</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24 Horas</w:t>
            </w:r>
          </w:p>
        </w:tc>
      </w:tr>
      <w:tr>
        <w:tc>
          <w:tcPr>
            <w:tcW w:type="dxa" w:w="700"/>
            <w:tcMar>
              <w:top w:type="dxa" w:w="80"/>
              <w:left w:type="dxa" w:w="100"/>
              <w:bottom w:type="dxa" w:w="80"/>
              <w:right w:type="dxa" w:w="100"/>
            </w:tcMar>
            <w:vAlign w:val="center"/>
          </w:tcPr>
          <w:p>
            <w:r>
              <w:rPr>
                <w:b/>
                <w:bCs/>
                <w:color w:val="000000"/>
                <w:sz w:val="19"/>
                <w:szCs w:val="19"/>
              </w:rPr>
              <w:t xml:space="preserve">19</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Registrar abertura do WorkFlow para o time de Produtos quando identificadas inconsistências cadastrais, divergências de informações ou situações não previstas neste procedimento.</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20</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Repassar à gestão os casos recorrentes, críticos ou que dependam de validação adicional com prazo de retorno ao cliente de 48 Horas.</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Gestão</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48 Horas</w:t>
            </w:r>
          </w:p>
        </w:tc>
      </w:tr>
      <w:tr>
        <w:tc>
          <w:tcPr>
            <w:tcW w:type="dxa" w:w="700"/>
            <w:tcMar>
              <w:top w:type="dxa" w:w="80"/>
              <w:left w:type="dxa" w:w="100"/>
              <w:bottom w:type="dxa" w:w="80"/>
              <w:right w:type="dxa" w:w="100"/>
            </w:tcMar>
            <w:vAlign w:val="center"/>
          </w:tcPr>
          <w:p>
            <w:r>
              <w:rPr>
                <w:b/>
                <w:bCs/>
                <w:color w:val="000000"/>
                <w:sz w:val="19"/>
                <w:szCs w:val="19"/>
              </w:rPr>
              <w:t xml:space="preserve">21</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Registrar o atendimento com a tabulação e encerrar a interação.</w:t>
            </w:r>
          </w:p>
          <w:p>
            <w:pPr>
              <w:spacing w:after="40"/>
            </w:pPr>
            <w:r>
              <w:rPr>
                <w:b w:val="false"/>
                <w:bCs w:val="false"/>
                <w:color w:val="000000"/>
                <w:sz w:val="19"/>
                <w:szCs w:val="19"/>
              </w:rPr>
              <w:t xml:space="preserve">TABULAÇÃO: Produto: Conta Velotax &gt; Motivo: Atualização Cadastral &gt; Detalhe: Dados Gerais.</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bl>
    <w:p>
      <w:pPr>
        <w:pStyle w:val="Heading1"/>
        <w:pBdr>
          <w:bottom w:val="single" w:color="1F3864" w:sz="6" w:space="4"/>
        </w:pBdr>
        <w:spacing w:after="120" w:before="300"/>
      </w:pPr>
      <w:r>
        <w:rPr>
          <w:b/>
          <w:bCs/>
          <w:color w:val="1F3864"/>
          <w:sz w:val="26"/>
          <w:szCs w:val="26"/>
        </w:rPr>
        <w:t xml:space="preserve">3. Pontos de Atenção e Regras do Processo</w:t>
      </w:r>
    </w:p>
    <w:p>
      <w:pPr>
        <w:pStyle w:val="ListParagraph"/>
        <w:numPr>
          <w:ilvl w:val="0"/>
          <w:numId w:val="1"/>
        </w:numPr>
        <w:spacing w:after="60"/>
      </w:pPr>
      <w:r>
        <w:rPr>
          <w:sz w:val="21"/>
          <w:szCs w:val="21"/>
        </w:rPr>
        <w:t xml:space="preserve">As informações apresentadas no CRM deverão ser utilizadas como referência para validação cadastral, em conjunto com as evidências encaminhadas pelo cliente e, quando aplicável, com as informações consultadas no Comprovante de Situação Cadastral no CPF da Receita Federal.</w:t>
      </w:r>
    </w:p>
    <w:p>
      <w:pPr>
        <w:pStyle w:val="ListParagraph"/>
        <w:numPr>
          <w:ilvl w:val="0"/>
          <w:numId w:val="1"/>
        </w:numPr>
        <w:spacing w:after="60"/>
      </w:pPr>
      <w:r>
        <w:rPr>
          <w:sz w:val="21"/>
          <w:szCs w:val="21"/>
        </w:rPr>
        <w:t xml:space="preserve">Nenhuma alteração cadastral deverá ser solicitada sem a validação das informações exigidas para cada tipo de atualização.</w:t>
      </w:r>
    </w:p>
    <w:p>
      <w:pPr>
        <w:pStyle w:val="ListParagraph"/>
        <w:numPr>
          <w:ilvl w:val="0"/>
          <w:numId w:val="1"/>
        </w:numPr>
        <w:spacing w:after="60"/>
      </w:pPr>
      <w:r>
        <w:rPr>
          <w:sz w:val="21"/>
          <w:szCs w:val="21"/>
        </w:rPr>
        <w:t xml:space="preserve">O atendente deverá registrar em anotação interna as evidências utilizadas para validação da solicitação, quando aplicável.</w:t>
      </w:r>
    </w:p>
    <w:p>
      <w:pPr>
        <w:pStyle w:val="ListParagraph"/>
        <w:numPr>
          <w:ilvl w:val="0"/>
          <w:numId w:val="1"/>
        </w:numPr>
        <w:spacing w:after="60"/>
      </w:pPr>
      <w:r>
        <w:rPr>
          <w:sz w:val="21"/>
          <w:szCs w:val="21"/>
        </w:rPr>
        <w:t xml:space="preserve">Todas as alterações cadastrais deverão ser encaminhadas por meio de requisição para análise e aplicação pelas áreas responsáveis.</w:t>
      </w:r>
    </w:p>
    <w:p>
      <w:pPr>
        <w:pStyle w:val="ListParagraph"/>
        <w:numPr>
          <w:ilvl w:val="0"/>
          <w:numId w:val="1"/>
        </w:numPr>
        <w:spacing w:after="60"/>
      </w:pPr>
      <w:r>
        <w:rPr>
          <w:sz w:val="21"/>
          <w:szCs w:val="21"/>
        </w:rPr>
        <w:t xml:space="preserve">O prazo para análise e processamento das solicitações de atualização cadastral é de até 24 horas.</w:t>
      </w:r>
    </w:p>
    <w:p>
      <w:pPr>
        <w:pStyle w:val="ListParagraph"/>
        <w:numPr>
          <w:ilvl w:val="0"/>
          <w:numId w:val="1"/>
        </w:numPr>
        <w:spacing w:after="60"/>
      </w:pPr>
      <w:r>
        <w:rPr>
          <w:sz w:val="21"/>
          <w:szCs w:val="21"/>
        </w:rPr>
        <w:t xml:space="preserve">Em casos de divergência entre as informações apresentadas pelo cliente e as bases oficiais consultadas, deverá prevalecer a informação constante na fonte oficial utilizada para validação.</w:t>
      </w:r>
    </w:p>
    <w:p>
      <w:pPr>
        <w:pStyle w:val="ListParagraph"/>
        <w:numPr>
          <w:ilvl w:val="0"/>
          <w:numId w:val="1"/>
        </w:numPr>
        <w:spacing w:after="60"/>
      </w:pPr>
      <w:r>
        <w:rPr>
          <w:sz w:val="21"/>
          <w:szCs w:val="21"/>
        </w:rPr>
        <w:t xml:space="preserve">O atendente deverá utilizar exclusivamente as informações apresentadas nos sistemas oficiais e procedimentos vigentes para condução do atendimento.</w:t>
      </w:r>
    </w:p>
    <w:p>
      <w:pPr>
        <w:pStyle w:val="Heading1"/>
        <w:pBdr>
          <w:bottom w:val="single" w:color="1F3864" w:sz="6" w:space="4"/>
        </w:pBdr>
        <w:spacing w:after="120" w:before="300"/>
      </w:pPr>
      <w:r>
        <w:rPr>
          <w:b/>
          <w:bCs/>
          <w:color w:val="1F3864"/>
          <w:sz w:val="26"/>
          <w:szCs w:val="26"/>
        </w:rPr>
        <w:t xml:space="preserve">4. SLA e Prazos de Atendimento</w:t>
      </w:r>
    </w:p>
    <w:p>
      <w:pPr>
        <w:spacing w:after="120"/>
      </w:pPr>
      <w:r>
        <w:rPr>
          <w:sz w:val="21"/>
          <w:szCs w:val="21"/>
        </w:rPr>
        <w:t xml:space="preserve">Imediato — identificação da solicitação, coleta e validação das evidências, consulta aos sistemas oficiais, abertura de WorkFlow/requisição e registro do atendimento. (Etapas 1 a 8, 10 a 12, 14 a 17, 19 e 21).</w:t>
      </w:r>
    </w:p>
    <w:p>
      <w:pPr>
        <w:spacing w:after="120"/>
      </w:pPr>
      <w:r>
        <w:rPr>
          <w:sz w:val="21"/>
          <w:szCs w:val="21"/>
        </w:rPr>
        <w:t xml:space="preserve">24 Horas — análise e processamento das solicitações de atualização cadastral pelo time de Produtos. (Etapas 9, 13 e 18).</w:t>
      </w:r>
    </w:p>
    <w:p>
      <w:pPr>
        <w:spacing w:after="120"/>
      </w:pPr>
      <w:r>
        <w:rPr>
          <w:sz w:val="21"/>
          <w:szCs w:val="21"/>
        </w:rPr>
        <w:t xml:space="preserve">48 Horas — retorno ao cliente nos casos recorrentes, críticos ou que dependam de validação adicional pela gestão. (Etapa 20).</w:t>
      </w:r>
    </w:p>
    <w:p>
      <w:pPr>
        <w:pStyle w:val="Heading1"/>
        <w:pBdr>
          <w:bottom w:val="single" w:color="1F3864" w:sz="6" w:space="4"/>
        </w:pBdr>
        <w:spacing w:after="120" w:before="300"/>
      </w:pPr>
      <w:r>
        <w:rPr>
          <w:b/>
          <w:bCs/>
          <w:color w:val="1F3864"/>
          <w:sz w:val="26"/>
          <w:szCs w:val="26"/>
        </w:rPr>
        <w:t xml:space="preserve">5. Informações para Consulta no CRM</w:t>
      </w:r>
    </w:p>
    <w:p>
      <w:pPr>
        <w:pStyle w:val="ListParagraph"/>
        <w:numPr>
          <w:ilvl w:val="0"/>
          <w:numId w:val="1"/>
        </w:numPr>
        <w:spacing w:after="60"/>
      </w:pPr>
      <w:r>
        <w:rPr>
          <w:sz w:val="21"/>
          <w:szCs w:val="21"/>
        </w:rPr>
        <w:t xml:space="preserve">Nome</w:t>
      </w:r>
    </w:p>
    <w:p>
      <w:pPr>
        <w:pStyle w:val="ListParagraph"/>
        <w:numPr>
          <w:ilvl w:val="0"/>
          <w:numId w:val="1"/>
        </w:numPr>
        <w:spacing w:after="60"/>
      </w:pPr>
      <w:r>
        <w:rPr>
          <w:sz w:val="21"/>
          <w:szCs w:val="21"/>
        </w:rPr>
        <w:t xml:space="preserve">E-mail</w:t>
      </w:r>
    </w:p>
    <w:p>
      <w:pPr>
        <w:pStyle w:val="ListParagraph"/>
        <w:numPr>
          <w:ilvl w:val="0"/>
          <w:numId w:val="1"/>
        </w:numPr>
        <w:spacing w:after="60"/>
      </w:pPr>
      <w:r>
        <w:rPr>
          <w:sz w:val="21"/>
          <w:szCs w:val="21"/>
        </w:rPr>
        <w:t xml:space="preserve">Telefone</w:t>
      </w:r>
    </w:p>
    <w:p>
      <w:pPr>
        <w:pStyle w:val="ListParagraph"/>
        <w:numPr>
          <w:ilvl w:val="0"/>
          <w:numId w:val="1"/>
        </w:numPr>
        <w:spacing w:after="60"/>
      </w:pPr>
      <w:r>
        <w:rPr>
          <w:sz w:val="21"/>
          <w:szCs w:val="21"/>
        </w:rPr>
        <w:t xml:space="preserve">Origem</w:t>
      </w:r>
    </w:p>
    <w:p>
      <w:pPr>
        <w:pStyle w:val="ListParagraph"/>
        <w:numPr>
          <w:ilvl w:val="0"/>
          <w:numId w:val="1"/>
        </w:numPr>
        <w:spacing w:after="60"/>
      </w:pPr>
      <w:r>
        <w:rPr>
          <w:sz w:val="21"/>
          <w:szCs w:val="21"/>
        </w:rPr>
        <w:t xml:space="preserve">Data da criação</w:t>
      </w:r>
    </w:p>
    <w:p>
      <w:pPr>
        <w:pStyle w:val="ListParagraph"/>
        <w:numPr>
          <w:ilvl w:val="0"/>
          <w:numId w:val="1"/>
        </w:numPr>
        <w:spacing w:after="60"/>
      </w:pPr>
      <w:r>
        <w:rPr>
          <w:sz w:val="21"/>
          <w:szCs w:val="21"/>
        </w:rPr>
        <w:t xml:space="preserve">Data de Nascimento</w:t>
      </w:r>
    </w:p>
    <w:p>
      <w:pPr>
        <w:pStyle w:val="ListParagraph"/>
        <w:numPr>
          <w:ilvl w:val="0"/>
          <w:numId w:val="1"/>
        </w:numPr>
        <w:spacing w:after="60"/>
      </w:pPr>
      <w:r>
        <w:rPr>
          <w:sz w:val="21"/>
          <w:szCs w:val="21"/>
        </w:rPr>
        <w:t xml:space="preserve">Conta</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2026-08-18T12:33:01.793Z</dcterms:created>
  <dcterms:modified xsi:type="dcterms:W3CDTF">2026-08-18T12:33:01.793Z</dcterms:modified>
</cp:coreProperties>
</file>

<file path=docProps/custom.xml><?xml version="1.0" encoding="utf-8"?>
<Properties xmlns="http://schemas.openxmlformats.org/officeDocument/2006/custom-properties" xmlns:vt="http://schemas.openxmlformats.org/officeDocument/2006/docPropsVTypes"/>
</file>