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6" w:space="4"/>
        </w:pBdr>
        <w:spacing w:after="120" w:before="300"/>
      </w:pPr>
      <w:r>
        <w:rPr>
          <w:b/>
          <w:bCs/>
          <w:color w:val="1F3864"/>
          <w:sz w:val="26"/>
          <w:szCs w:val="26"/>
        </w:rPr>
        <w:t xml:space="preserve">1. Escopo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Informações gerais sobre o Programa de Cupons Velotax.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Regras de elegibilidade para recebimento dos códigos de resgate.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Geração de códigos vinculados ao pagamento de parcelas elegíveis do Empréstimo Pessoal.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Resgate dos Créditos Velotax por meio do código recebido.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Consulta sobre saldo e validade dos Créditos Velotax.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Utilização dos créditos para resgate de cupons.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Orientações sobre ofertas disponibilizadas pelo parceiro Vibe.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Tratativas relacionadas à ausência, invalidação ou indisponibilidade do código de resgate.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Tratativas relacionadas à indisponibilidade dos Créditos Velotax após o resgate do código.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Fora do escopo: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Cancelamento ou alteração de operações de Empréstimo Pessoal.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Problemas relacionados ao pagamento das parcelas do Empréstimo Pessoal.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Problemas técnicos após o resgate e utilização dos cupons junto aos parceiros.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Reclamações relacionadas à utilização dos cupons após o resgate.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Demandas relacionadas aos produtos e serviços oferecidos pelos parceiros.</w:t>
      </w:r>
    </w:p>
    <w:p>
      <w:pPr>
        <w:pStyle w:val="Heading1"/>
        <w:pBdr>
          <w:bottom w:val="single" w:color="1F3864" w:sz="6" w:space="4"/>
        </w:pBdr>
        <w:spacing w:after="120" w:before="300"/>
      </w:pPr>
      <w:r>
        <w:rPr>
          <w:b/>
          <w:bCs/>
          <w:color w:val="1F3864"/>
          <w:sz w:val="26"/>
          <w:szCs w:val="26"/>
        </w:rPr>
        <w:t xml:space="preserve">2. Fluxo de Atendimento (completo)</w:t>
      </w:r>
    </w:p>
    <w:p>
      <w:pPr>
        <w:spacing w:after="120"/>
      </w:pPr>
      <w:r>
        <w:rPr>
          <w:sz w:val="21"/>
          <w:szCs w:val="21"/>
        </w:rPr>
        <w:t xml:space="preserve">Sequência integral das 25 etapas do atendimento, com responsável, prazo e as tabulações de encerramento a serem aplicadas em cada ponto de finalização.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1800"/>
        <w:gridCol w:w="1300"/>
      </w:tblGrid>
      <w:tr>
        <w:trPr>
          <w:tblHeader/>
        </w:trPr>
        <w:tc>
          <w:tcPr>
            <w:tcW w:type="dxa" w:w="7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tcW w:type="dxa" w:w="4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ATIVIDADE / DECISÃO</w:t>
            </w:r>
          </w:p>
        </w:tc>
        <w:tc>
          <w:tcPr>
            <w:tcW w:type="dxa" w:w="18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RESPONSÁVEL</w:t>
            </w:r>
          </w:p>
        </w:tc>
        <w:tc>
          <w:tcPr>
            <w:tcW w:type="dxa" w:w="1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PRAZO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Receber o contato do cliente e identificar a solicitação relacionada ao Programa de Cupons Velotax.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Identificar o motivo do contato: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• Informações gerais sobre o Programa de Cupons: Prosseguir para etapa 3.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• Como obter o Código de Resgate: Prosseguir para etapa 4.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• Como resgatar os Créditos Velotax: Prosseguir para etapa 7.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• Não recebi o Código de Resgate: Prosseguir para etapa 10.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• Código de Resgate inválido: Prosseguir para etapa 17.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• Dúvidas sobre saldo ou validade dos Créditos Velotax: Prosseguir para etapa 24.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• Problemas após o resgate do cupom: Prosseguir para etapa 25.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Informar que o Programa de Cupons Velotax é um benefício vinculado ao Empréstimo Pessoal, permitindo ao cliente obter Créditos Velotax para utilização no resgate de cupons disponibilizados pelos parceiros.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TABULAÇÃO: Produto: Cupons &gt; Motivo: Como Utilizar.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Informar que o Código de Resgate é gerado automaticamente quando uma parcela elegível do Empréstimo Pessoal é quitada na data do vencimento.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Esclarecer que o código é disponibilizado imediatamente após a confirmação do pagamento, sendo exibido no aplicativo naquele momento e enviado simultaneamente para o e-mail cadastrado do cliente.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Informar que, caso o cliente feche a tela do aplicativo, o Código de Resgate permanecerá disponível apenas no e-mail cadastrado.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TABULAÇÃO: Produto: Cupons &gt; Motivo: Como Utilizar.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Orientar o cliente a acessar a área Cupons no aplicativo.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Orientar o cliente a informar o Código de Resgate recebido.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Informar que, após a validação do código, serão disponibilizados 100 Créditos Velotax, que poderão ser utilizados para o resgate dos cupons disponíveis na plataforma.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TABULAÇÃO: Produto: Cupons &gt; Motivo: Como Utilizar.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Consultar o CRM e as ferramentas de validação disponíveis (StarkBank/Pagar.me) para verificar a situação do pagamento da parcela informada pelo cliente.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 parcela foi quitada na data do vencimento?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Não: Informar que apenas parcelas quitadas na data do vencimento são elegíveis para geração do Código de Resgate.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Encerrar atendimento.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13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Sim: Validar se o pagamento se encontra confirmado nas consultas disponíveis.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14</w:t>
            </w:r>
          </w:p>
        </w:tc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 pagamento foi localizado?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15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Não: Solicitar o comprovante de pagamento ao cliente para continuidade da análise.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16</w:t>
            </w:r>
          </w:p>
        </w:tc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Abrir requisição para o Suporte Técnico, anexar as evidências disponíveis e informar o prazo de análise de até 24 horas úteis.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Encerrar atendimento.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17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Consultar o CRM e validar a parcela vinculada ao Código de Resgate informado pelo cliente.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18</w:t>
            </w:r>
          </w:p>
        </w:tc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 parcela foi quitada na data do vencimento?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19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Não: Informar que a parcela não atende aos critérios de elegibilidade do Programa de Cupons e, por esse motivo, não gera Código de Resgate.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TABULAÇÃO: Produto: Cupons &gt; Motivo: Como Utilizar.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Sim: Validar a confirmação do pagamento nas consultas disponíveis (StarkBank/Pagar.me).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21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 pagamento foi localizado?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22</w:t>
            </w:r>
          </w:p>
        </w:tc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Não: Solicitar o comprovante de pagamento ao cliente para continuidade da análise.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23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Realizar abertura do WorkFlow para o Suporte Técnico, anexar as evidências disponíveis e informar o prazo de análise de até 24 horas úteis.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TABULAÇÃO: Produto: Cupons &gt; Motivo: Erros e Bugs.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Produtos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24 Horas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24</w:t>
            </w:r>
          </w:p>
        </w:tc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Consultar o saldo disponível de Créditos Velotax no CRM e orientar o cliente sobre a quantidade de créditos disponível e o prazo de validade de 6 meses.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TABULAÇÃO: Produto: Cupons &gt; Motivo: Como Utilizar.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25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Informar que problemas relacionados à utilização ou aceitação dos cupons após o resgate deverão ser tratados diretamente com o parceiro Vibe, responsável pelas ofertas disponibilizadas. Informar os canais oficiais do parceiro e encerrar o atendimento.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20" w:before="300"/>
      </w:pPr>
      <w:r>
        <w:rPr>
          <w:b/>
          <w:bCs/>
          <w:color w:val="1F3864"/>
          <w:sz w:val="26"/>
          <w:szCs w:val="26"/>
        </w:rPr>
        <w:t xml:space="preserve">3. Pontos de Atenção e Regras do Processo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 Programa de Cupons Velotax é um benefício vinculado ao Empréstimo Pessoal, destinado exclusivamente aos clientes que atenderem aos critérios de elegibilidade estabelecidos pela Velotax.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 Código de Resgate é gerado automaticamente somente para parcelas do Empréstimo Pessoal quitadas na data do vencimento.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Cada parcela elegível gera um único Código de Resgate, que poderá ser utilizado uma única vez.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Após a confirmação do pagamento da parcela elegível, o Código de Resgate é exibido temporariamente no aplicativo e enviado ao e-mail cadastrado do cliente.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Caso o cliente encerre a tela de exibição do código, a consulta deverá ser realizada por meio do e-mail cadastrado.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 resgate do Código de Resgate disponibiliza 100 Créditos Velotax, que poderão ser utilizados para obtenção dos cupons disponíveis na plataforma.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Os Créditos Velotax possuem validade de 6 (seis) meses, contados a partir da data do resgate do Código.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Em casos de ausência do Código de Resgate, código inválido ou outras inconsistências relacionadas ao benefício, o atendente deverá realizar as validações previstas neste procedimento antes de encaminhar a solicitação ao Suporte Técnico.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Quando não for possível confirmar o pagamento da parcela pelos sistemas disponíveis, o cliente deverá apresentar o comprovante de pagamento para continuidade da análise.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Problemas relacionados ao funcionamento, à utilização ou à aceitação dos cupons após o resgate deverão ser tratados diretamente com o parceiro Vibe, por meio da Central de Atendimento, no telefone 0800 731 2500.</w:t>
      </w:r>
    </w:p>
    <w:p>
      <w:pPr>
        <w:pStyle w:val="Heading1"/>
        <w:pBdr>
          <w:bottom w:val="single" w:color="1F3864" w:sz="6" w:space="4"/>
        </w:pBdr>
        <w:spacing w:after="120" w:before="300"/>
      </w:pPr>
      <w:r>
        <w:rPr>
          <w:b/>
          <w:bCs/>
          <w:color w:val="1F3864"/>
          <w:sz w:val="26"/>
          <w:szCs w:val="26"/>
        </w:rPr>
        <w:t xml:space="preserve">4. SLA e Prazos de Atendimento</w:t>
      </w:r>
    </w:p>
    <w:p>
      <w:pPr>
        <w:spacing w:after="120"/>
      </w:pPr>
      <w:r>
        <w:rPr>
          <w:sz w:val="21"/>
          <w:szCs w:val="21"/>
        </w:rPr>
        <w:t xml:space="preserve">Imediato — atendimento realizado pelo Atendente no momento do contato: identificação da solicitação, orientações sobre o Programa de Cupons Velotax, obtenção e resgate do Código de Resgate, consultas nos sistemas (CRM, StarkBank e Pagar.me), validação da elegibilidade da parcela, solicitação de comprovante, consulta de saldo e validade dos Créditos Velotax e direcionamento ao parceiro Vibe. (Etapas 1 a 22 e 24 a 25).</w:t>
      </w:r>
    </w:p>
    <w:p>
      <w:pPr>
        <w:spacing w:after="120"/>
      </w:pPr>
      <w:r>
        <w:rPr>
          <w:sz w:val="21"/>
          <w:szCs w:val="21"/>
        </w:rPr>
        <w:t xml:space="preserve">24 Horas — análise técnica da inconsistência após abertura do WorkFlow para o Suporte Técnico, com anexação das evidências disponíveis. (Etapa 23).</w:t>
      </w:r>
    </w:p>
    <w:p>
      <w:pPr>
        <w:pStyle w:val="Heading1"/>
        <w:pBdr>
          <w:bottom w:val="single" w:color="1F3864" w:sz="6" w:space="4"/>
        </w:pBdr>
        <w:spacing w:after="120" w:before="300"/>
      </w:pPr>
      <w:r>
        <w:rPr>
          <w:b/>
          <w:bCs/>
          <w:color w:val="1F3864"/>
          <w:sz w:val="26"/>
          <w:szCs w:val="26"/>
        </w:rPr>
        <w:t xml:space="preserve">5. Informações para Consulta no CRM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Histórico de Atendimentos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Parcelas do Empréstimo Pessoal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Data de Vencimento da Parcela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Saldo de Créditos Velotax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Validade dos Créditos Velotax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Status do Pagamento (StarkBank)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Status do Pagamento (Pagar.me)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2026-08-18T12:34:01.643Z</dcterms:created>
  <dcterms:modified xsi:type="dcterms:W3CDTF">2026-08-18T12:34:01.643Z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