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3864" w:sz="6" w:space="4"/>
        </w:pBdr>
        <w:spacing w:after="120" w:before="300"/>
      </w:pPr>
      <w:r>
        <w:rPr>
          <w:b/>
          <w:bCs/>
          <w:color w:val="1F3864"/>
          <w:sz w:val="26"/>
          <w:szCs w:val="26"/>
        </w:rPr>
        <w:t xml:space="preserve">1. Escopo</w:t>
      </w:r>
    </w:p>
    <w:p>
      <w:pPr>
        <w:pStyle w:val="ListParagraph"/>
        <w:numPr>
          <w:ilvl w:val="0"/>
          <w:numId w:val="1"/>
        </w:numPr>
        <w:spacing w:after="60"/>
      </w:pPr>
      <w:r>
        <w:rPr>
          <w:sz w:val="21"/>
          <w:szCs w:val="21"/>
        </w:rPr>
        <w:t xml:space="preserve">Consulta de saldo devedor da operação.</w:t>
      </w:r>
    </w:p>
    <w:p>
      <w:pPr>
        <w:pStyle w:val="ListParagraph"/>
        <w:numPr>
          <w:ilvl w:val="0"/>
          <w:numId w:val="1"/>
        </w:numPr>
        <w:spacing w:after="60"/>
      </w:pPr>
      <w:r>
        <w:rPr>
          <w:sz w:val="21"/>
          <w:szCs w:val="21"/>
        </w:rPr>
        <w:t xml:space="preserve">Consulta da situação contratual.</w:t>
      </w:r>
    </w:p>
    <w:p>
      <w:pPr>
        <w:pStyle w:val="ListParagraph"/>
        <w:numPr>
          <w:ilvl w:val="0"/>
          <w:numId w:val="1"/>
        </w:numPr>
        <w:spacing w:after="60"/>
      </w:pPr>
      <w:r>
        <w:rPr>
          <w:sz w:val="21"/>
          <w:szCs w:val="21"/>
        </w:rPr>
        <w:t xml:space="preserve">Consulta de parcelas quitadas, em aberto ou vencidas.</w:t>
      </w:r>
    </w:p>
    <w:p>
      <w:pPr>
        <w:pStyle w:val="ListParagraph"/>
        <w:numPr>
          <w:ilvl w:val="0"/>
          <w:numId w:val="1"/>
        </w:numPr>
        <w:spacing w:after="60"/>
      </w:pPr>
      <w:r>
        <w:rPr>
          <w:sz w:val="21"/>
          <w:szCs w:val="21"/>
        </w:rPr>
        <w:t xml:space="preserve">Consulta de informações da contratação.</w:t>
      </w:r>
    </w:p>
    <w:p>
      <w:pPr>
        <w:pStyle w:val="ListParagraph"/>
        <w:numPr>
          <w:ilvl w:val="0"/>
          <w:numId w:val="1"/>
        </w:numPr>
        <w:spacing w:after="60"/>
      </w:pPr>
      <w:r>
        <w:rPr>
          <w:sz w:val="21"/>
          <w:szCs w:val="21"/>
        </w:rPr>
        <w:t xml:space="preserve">Orientação para acesso ao Cronograma de Pagamentos.</w:t>
      </w:r>
    </w:p>
    <w:p>
      <w:pPr>
        <w:pStyle w:val="ListParagraph"/>
        <w:numPr>
          <w:ilvl w:val="0"/>
          <w:numId w:val="1"/>
        </w:numPr>
        <w:spacing w:after="60"/>
      </w:pPr>
      <w:r>
        <w:rPr>
          <w:sz w:val="21"/>
          <w:szCs w:val="21"/>
        </w:rPr>
        <w:t xml:space="preserve">Liquidação antecipada de parcelas.</w:t>
      </w:r>
    </w:p>
    <w:p>
      <w:pPr>
        <w:pStyle w:val="ListParagraph"/>
        <w:numPr>
          <w:ilvl w:val="0"/>
          <w:numId w:val="1"/>
        </w:numPr>
        <w:spacing w:after="60"/>
      </w:pPr>
      <w:r>
        <w:rPr>
          <w:sz w:val="21"/>
          <w:szCs w:val="21"/>
        </w:rPr>
        <w:t xml:space="preserve">Liquidação antecipada de múltiplas parcelas.</w:t>
      </w:r>
    </w:p>
    <w:p>
      <w:pPr>
        <w:pStyle w:val="ListParagraph"/>
        <w:numPr>
          <w:ilvl w:val="0"/>
          <w:numId w:val="1"/>
        </w:numPr>
        <w:spacing w:after="60"/>
      </w:pPr>
      <w:r>
        <w:rPr>
          <w:sz w:val="21"/>
          <w:szCs w:val="21"/>
        </w:rPr>
        <w:t xml:space="preserve">Quitação integral da operação.</w:t>
      </w:r>
    </w:p>
    <w:p>
      <w:pPr>
        <w:pStyle w:val="ListParagraph"/>
        <w:numPr>
          <w:ilvl w:val="0"/>
          <w:numId w:val="1"/>
        </w:numPr>
        <w:spacing w:after="60"/>
      </w:pPr>
      <w:r>
        <w:rPr>
          <w:sz w:val="21"/>
          <w:szCs w:val="21"/>
        </w:rPr>
        <w:t xml:space="preserve">Aplicação de descontos proporcionais por amortização.</w:t>
      </w:r>
    </w:p>
    <w:p>
      <w:pPr>
        <w:pStyle w:val="ListParagraph"/>
        <w:numPr>
          <w:ilvl w:val="0"/>
          <w:numId w:val="1"/>
        </w:numPr>
        <w:spacing w:after="60"/>
      </w:pPr>
      <w:r>
        <w:rPr>
          <w:sz w:val="21"/>
          <w:szCs w:val="21"/>
        </w:rPr>
        <w:t xml:space="preserve">Solicitação de Carta de Quitação.</w:t>
      </w:r>
    </w:p>
    <w:p>
      <w:pPr>
        <w:pStyle w:val="ListParagraph"/>
        <w:numPr>
          <w:ilvl w:val="0"/>
          <w:numId w:val="1"/>
        </w:numPr>
        <w:spacing w:after="60"/>
      </w:pPr>
      <w:r>
        <w:rPr>
          <w:sz w:val="21"/>
          <w:szCs w:val="21"/>
        </w:rPr>
        <w:t xml:space="preserve">Tratativas para indisponibilidade do Cronograma de Pagamentos.</w:t>
      </w:r>
    </w:p>
    <w:p>
      <w:pPr>
        <w:pStyle w:val="ListParagraph"/>
        <w:numPr>
          <w:ilvl w:val="0"/>
          <w:numId w:val="1"/>
        </w:numPr>
        <w:spacing w:after="60"/>
      </w:pPr>
      <w:r>
        <w:rPr>
          <w:sz w:val="21"/>
          <w:szCs w:val="21"/>
        </w:rPr>
        <w:t xml:space="preserve">Solicitação de emissão de link de pagamento em caráter contingencial.</w:t>
      </w:r>
    </w:p>
    <w:p>
      <w:pPr>
        <w:spacing w:after="60" w:before="120"/>
      </w:pPr>
      <w:r>
        <w:rPr>
          <w:b/>
          <w:bCs/>
          <w:sz w:val="21"/>
          <w:szCs w:val="21"/>
        </w:rPr>
        <w:t xml:space="preserve">Fora do escopo:</w:t>
      </w:r>
    </w:p>
    <w:p>
      <w:pPr>
        <w:pStyle w:val="ListParagraph"/>
        <w:numPr>
          <w:ilvl w:val="0"/>
          <w:numId w:val="1"/>
        </w:numPr>
        <w:spacing w:after="60"/>
      </w:pPr>
      <w:r>
        <w:rPr>
          <w:sz w:val="21"/>
          <w:szCs w:val="21"/>
        </w:rPr>
        <w:t xml:space="preserve">Concessão de descontos manuais.</w:t>
      </w:r>
    </w:p>
    <w:p>
      <w:pPr>
        <w:pStyle w:val="ListParagraph"/>
        <w:numPr>
          <w:ilvl w:val="0"/>
          <w:numId w:val="1"/>
        </w:numPr>
        <w:spacing w:after="60"/>
      </w:pPr>
      <w:r>
        <w:rPr>
          <w:sz w:val="21"/>
          <w:szCs w:val="21"/>
        </w:rPr>
        <w:t xml:space="preserve">Alteração de condições contratuais.</w:t>
      </w:r>
    </w:p>
    <w:p>
      <w:pPr>
        <w:pStyle w:val="ListParagraph"/>
        <w:numPr>
          <w:ilvl w:val="0"/>
          <w:numId w:val="1"/>
        </w:numPr>
        <w:spacing w:after="60"/>
      </w:pPr>
      <w:r>
        <w:rPr>
          <w:sz w:val="21"/>
          <w:szCs w:val="21"/>
        </w:rPr>
        <w:t xml:space="preserve">Renegociação de contratos.</w:t>
      </w:r>
    </w:p>
    <w:p>
      <w:pPr>
        <w:pStyle w:val="ListParagraph"/>
        <w:numPr>
          <w:ilvl w:val="0"/>
          <w:numId w:val="1"/>
        </w:numPr>
        <w:spacing w:after="60"/>
      </w:pPr>
      <w:r>
        <w:rPr>
          <w:sz w:val="21"/>
          <w:szCs w:val="21"/>
        </w:rPr>
        <w:t xml:space="preserve">Formalização de acordos financeiros.</w:t>
      </w:r>
    </w:p>
    <w:p>
      <w:pPr>
        <w:pStyle w:val="ListParagraph"/>
        <w:numPr>
          <w:ilvl w:val="0"/>
          <w:numId w:val="1"/>
        </w:numPr>
        <w:spacing w:after="60"/>
      </w:pPr>
      <w:r>
        <w:rPr>
          <w:sz w:val="21"/>
          <w:szCs w:val="21"/>
        </w:rPr>
        <w:t xml:space="preserve">Cobrança ativa.</w:t>
      </w:r>
    </w:p>
    <w:p>
      <w:pPr>
        <w:pStyle w:val="ListParagraph"/>
        <w:numPr>
          <w:ilvl w:val="0"/>
          <w:numId w:val="1"/>
        </w:numPr>
        <w:spacing w:after="60"/>
      </w:pPr>
      <w:r>
        <w:rPr>
          <w:sz w:val="21"/>
          <w:szCs w:val="21"/>
        </w:rPr>
        <w:t xml:space="preserve">Parcelamento de débitos.</w:t>
      </w:r>
    </w:p>
    <w:p>
      <w:pPr>
        <w:pStyle w:val="ListParagraph"/>
        <w:numPr>
          <w:ilvl w:val="0"/>
          <w:numId w:val="1"/>
        </w:numPr>
        <w:spacing w:after="60"/>
      </w:pPr>
      <w:r>
        <w:rPr>
          <w:sz w:val="21"/>
          <w:szCs w:val="21"/>
        </w:rPr>
        <w:t xml:space="preserve">Definição manual de valores para liquidação.</w:t>
      </w:r>
    </w:p>
    <w:p>
      <w:pPr>
        <w:pStyle w:val="ListParagraph"/>
        <w:numPr>
          <w:ilvl w:val="0"/>
          <w:numId w:val="1"/>
        </w:numPr>
        <w:spacing w:after="60"/>
      </w:pPr>
      <w:r>
        <w:rPr>
          <w:sz w:val="21"/>
          <w:szCs w:val="21"/>
        </w:rPr>
        <w:t xml:space="preserve">Cálculo manual de amortização ou descontos.</w:t>
      </w:r>
    </w:p>
    <w:p>
      <w:pPr>
        <w:pStyle w:val="Heading1"/>
        <w:pBdr>
          <w:bottom w:val="single" w:color="1F3864" w:sz="6" w:space="4"/>
        </w:pBdr>
        <w:spacing w:after="120" w:before="300"/>
      </w:pPr>
      <w:r>
        <w:rPr>
          <w:b/>
          <w:bCs/>
          <w:color w:val="1F3864"/>
          <w:sz w:val="26"/>
          <w:szCs w:val="26"/>
        </w:rPr>
        <w:t xml:space="preserve">2. Fluxo de Atendimento (completo)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1800"/>
        <w:gridCol w:w="1300"/>
      </w:tblGrid>
      <w:tr>
        <w:trPr>
          <w:tblHeader/>
        </w:trPr>
        <w:tc>
          <w:tcPr>
            <w:tcW w:type="dxa" w:w="700"/>
            <w:shd w:fill="1F3864" w:color="auto" w:val="clear"/>
            <w:tcMar>
              <w:top w:type="dxa" w:w="80"/>
              <w:left w:type="dxa" w:w="100"/>
              <w:bottom w:type="dxa" w:w="80"/>
              <w:right w:type="dxa" w:w="100"/>
            </w:tcMar>
            <w:vAlign w:val="center"/>
          </w:tcPr>
          <w:p>
            <w:r>
              <w:rPr>
                <w:b/>
                <w:bCs/>
                <w:color w:val="FFFFFF"/>
                <w:sz w:val="19"/>
                <w:szCs w:val="19"/>
              </w:rPr>
              <w:t xml:space="preserve">ETAPA</w:t>
            </w:r>
          </w:p>
        </w:tc>
        <w:tc>
          <w:tcPr>
            <w:tcW w:type="dxa" w:w="4600"/>
            <w:shd w:fill="1F3864" w:color="auto" w:val="clear"/>
            <w:tcMar>
              <w:top w:type="dxa" w:w="80"/>
              <w:left w:type="dxa" w:w="100"/>
              <w:bottom w:type="dxa" w:w="80"/>
              <w:right w:type="dxa" w:w="100"/>
            </w:tcMar>
            <w:vAlign w:val="center"/>
          </w:tcPr>
          <w:p>
            <w:r>
              <w:rPr>
                <w:b/>
                <w:bCs/>
                <w:color w:val="FFFFFF"/>
                <w:sz w:val="19"/>
                <w:szCs w:val="19"/>
              </w:rPr>
              <w:t xml:space="preserve">ATIVIDADE / DECISÃO</w:t>
            </w:r>
          </w:p>
        </w:tc>
        <w:tc>
          <w:tcPr>
            <w:tcW w:type="dxa" w:w="1800"/>
            <w:shd w:fill="1F3864" w:color="auto" w:val="clear"/>
            <w:tcMar>
              <w:top w:type="dxa" w:w="80"/>
              <w:left w:type="dxa" w:w="100"/>
              <w:bottom w:type="dxa" w:w="80"/>
              <w:right w:type="dxa" w:w="100"/>
            </w:tcMar>
            <w:vAlign w:val="center"/>
          </w:tcPr>
          <w:p>
            <w:r>
              <w:rPr>
                <w:b/>
                <w:bCs/>
                <w:color w:val="FFFFFF"/>
                <w:sz w:val="19"/>
                <w:szCs w:val="19"/>
              </w:rPr>
              <w:t xml:space="preserve">RESPONSÁVEL</w:t>
            </w:r>
          </w:p>
        </w:tc>
        <w:tc>
          <w:tcPr>
            <w:tcW w:type="dxa" w:w="1300"/>
            <w:shd w:fill="1F3864" w:color="auto" w:val="clear"/>
            <w:tcMar>
              <w:top w:type="dxa" w:w="80"/>
              <w:left w:type="dxa" w:w="100"/>
              <w:bottom w:type="dxa" w:w="80"/>
              <w:right w:type="dxa" w:w="100"/>
            </w:tcMar>
            <w:vAlign w:val="center"/>
          </w:tcPr>
          <w:p>
            <w:r>
              <w:rPr>
                <w:b/>
                <w:bCs/>
                <w:color w:val="FFFFFF"/>
                <w:sz w:val="19"/>
                <w:szCs w:val="19"/>
              </w:rPr>
              <w:t xml:space="preserve">PRAZO</w:t>
            </w:r>
          </w:p>
        </w:tc>
      </w:tr>
      <w:tr>
        <w:tc>
          <w:tcPr>
            <w:tcW w:type="dxa" w:w="700"/>
            <w:tcMar>
              <w:top w:type="dxa" w:w="80"/>
              <w:left w:type="dxa" w:w="100"/>
              <w:bottom w:type="dxa" w:w="80"/>
              <w:right w:type="dxa" w:w="100"/>
            </w:tcMar>
            <w:vAlign w:val="center"/>
          </w:tcPr>
          <w:p>
            <w:r>
              <w:rPr>
                <w:b/>
                <w:bCs/>
                <w:color w:val="000000"/>
                <w:sz w:val="19"/>
                <w:szCs w:val="19"/>
              </w:rPr>
              <w:t xml:space="preserve">1</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Receber o contato do cliente e identificar a solicitação relacionada ao Empréstimo Pessoal.</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2</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Consultar as informações da operação no CRM.</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3</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A operação encontra-se quitada?</w:t>
            </w:r>
          </w:p>
          <w:p>
            <w:pPr>
              <w:spacing w:after="40"/>
            </w:pPr>
            <w:r>
              <w:rPr>
                <w:b w:val="false"/>
                <w:bCs w:val="false"/>
                <w:color w:val="000000"/>
                <w:sz w:val="19"/>
                <w:szCs w:val="19"/>
              </w:rPr>
              <w:t xml:space="preserve">• Sim: Prosseguir para etapa 4.</w:t>
            </w:r>
          </w:p>
          <w:p>
            <w:pPr>
              <w:spacing w:after="40"/>
            </w:pPr>
            <w:r>
              <w:rPr>
                <w:b w:val="false"/>
                <w:bCs w:val="false"/>
                <w:color w:val="000000"/>
                <w:sz w:val="19"/>
                <w:szCs w:val="19"/>
              </w:rPr>
              <w:t xml:space="preserve">• Não: Prosseguir para etapa 6.</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4</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A solicitação está relacionada à Carta de Quitação?</w:t>
            </w:r>
          </w:p>
          <w:p>
            <w:pPr>
              <w:spacing w:after="40"/>
            </w:pPr>
            <w:r>
              <w:rPr>
                <w:b w:val="false"/>
                <w:bCs w:val="false"/>
                <w:color w:val="000000"/>
                <w:sz w:val="19"/>
                <w:szCs w:val="19"/>
              </w:rPr>
              <w:t xml:space="preserve">• Sim: Prosseguir para etapa 5.</w:t>
            </w:r>
          </w:p>
          <w:p>
            <w:pPr>
              <w:spacing w:after="40"/>
            </w:pPr>
            <w:r>
              <w:rPr>
                <w:b w:val="false"/>
                <w:bCs w:val="false"/>
                <w:color w:val="000000"/>
                <w:sz w:val="19"/>
                <w:szCs w:val="19"/>
              </w:rPr>
              <w:t xml:space="preserve">• Não: Prosseguir para etapa 6.</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5</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Registrar solicitação para o Suporte de Atendimento emitir a Carta de Quitação, informar ao cliente que a solicitação foi encaminhada e o prazo para o envio é de 24Hrs.</w:t>
            </w:r>
          </w:p>
          <w:p>
            <w:pPr>
              <w:spacing w:after="40"/>
            </w:pPr>
            <w:r>
              <w:rPr>
                <w:b w:val="false"/>
                <w:bCs w:val="false"/>
                <w:color w:val="000000"/>
                <w:sz w:val="19"/>
                <w:szCs w:val="19"/>
              </w:rPr>
              <w:t xml:space="preserve">Encerrar atendimento com a tabulação: TABULAÇÃO: Produto: Empréstimo Pessoal &gt; Motivo: Pagamento &gt; Detalhe: Quitação do Contrato.</w:t>
            </w:r>
          </w:p>
        </w:tc>
        <w:tc>
          <w:tcPr>
            <w:tcW w:type="dxa" w:w="1800"/>
            <w:tcMar>
              <w:top w:type="dxa" w:w="80"/>
              <w:left w:type="dxa" w:w="100"/>
              <w:bottom w:type="dxa" w:w="80"/>
              <w:right w:type="dxa" w:w="100"/>
            </w:tcMar>
            <w:vAlign w:val="center"/>
          </w:tcPr>
          <w:p>
            <w:r>
              <w:rPr>
                <w:b w:val="false"/>
                <w:bCs w:val="false"/>
                <w:color w:val="000000"/>
                <w:sz w:val="19"/>
                <w:szCs w:val="19"/>
              </w:rPr>
              <w:t xml:space="preserve">Suporte</w:t>
            </w:r>
          </w:p>
        </w:tc>
        <w:tc>
          <w:tcPr>
            <w:tcW w:type="dxa" w:w="1300"/>
            <w:tcMar>
              <w:top w:type="dxa" w:w="80"/>
              <w:left w:type="dxa" w:w="100"/>
              <w:bottom w:type="dxa" w:w="80"/>
              <w:right w:type="dxa" w:w="100"/>
            </w:tcMar>
            <w:vAlign w:val="center"/>
          </w:tcPr>
          <w:p>
            <w:r>
              <w:rPr>
                <w:b w:val="false"/>
                <w:bCs w:val="false"/>
                <w:color w:val="000000"/>
                <w:sz w:val="19"/>
                <w:szCs w:val="19"/>
              </w:rPr>
              <w:t xml:space="preserve">24 Horas</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6</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A solicitação está relacionada à consulta de informações da operação?</w:t>
            </w:r>
          </w:p>
          <w:p>
            <w:pPr>
              <w:spacing w:after="40"/>
            </w:pPr>
            <w:r>
              <w:rPr>
                <w:b w:val="false"/>
                <w:bCs w:val="false"/>
                <w:color w:val="000000"/>
                <w:sz w:val="19"/>
                <w:szCs w:val="19"/>
              </w:rPr>
              <w:t xml:space="preserve">Exemplos: saldo devedor, parcelas quitadas, parcelas em aberto, parcelas vencidas, valor do contrato, situação contratual ou dados da contratação.</w:t>
            </w:r>
          </w:p>
          <w:p>
            <w:pPr>
              <w:spacing w:after="40"/>
            </w:pPr>
            <w:r>
              <w:rPr>
                <w:b w:val="false"/>
                <w:bCs w:val="false"/>
                <w:color w:val="000000"/>
                <w:sz w:val="19"/>
                <w:szCs w:val="19"/>
              </w:rPr>
              <w:t xml:space="preserve">• Sim: Prosseguir para etapa 7.</w:t>
            </w:r>
          </w:p>
          <w:p>
            <w:pPr>
              <w:spacing w:after="40"/>
            </w:pPr>
            <w:r>
              <w:rPr>
                <w:b w:val="false"/>
                <w:bCs w:val="false"/>
                <w:color w:val="000000"/>
                <w:sz w:val="19"/>
                <w:szCs w:val="19"/>
              </w:rPr>
              <w:t xml:space="preserve">• Não: Prosseguir para etapa 9.</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7</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Informar os dados disponíveis no CRM, esclarecendo que os valores apresentados representam os valores originalmente registrados na operação e que o valor oficial para pagamento estará disponível exclusivamente no Cronograma de Pagamentos.</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8</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Após prestar as informações solicitadas, o cliente deseja realizar a liquidação antecipada da operação?</w:t>
            </w:r>
          </w:p>
          <w:p>
            <w:pPr>
              <w:spacing w:after="40"/>
            </w:pPr>
            <w:r>
              <w:rPr>
                <w:b w:val="false"/>
                <w:bCs w:val="false"/>
                <w:color w:val="000000"/>
                <w:sz w:val="19"/>
                <w:szCs w:val="19"/>
              </w:rPr>
              <w:t xml:space="preserve">• Sim: Prosseguir para etapa 9.</w:t>
            </w:r>
          </w:p>
          <w:p>
            <w:pPr>
              <w:spacing w:after="40"/>
            </w:pPr>
            <w:r>
              <w:rPr>
                <w:b w:val="false"/>
                <w:bCs w:val="false"/>
                <w:color w:val="000000"/>
                <w:sz w:val="19"/>
                <w:szCs w:val="19"/>
              </w:rPr>
              <w:t xml:space="preserve">• Não: Encerrar atendimento.</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9</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Orientar o cliente a localizar o Cronograma de Pagamentos pelo aplicativo seguindo o caminho: Tela Inicial → menu (três traços) localizado no canto superior direito → Documentos → rolar a tela até localizar a opção "Cronograma de Pagamentos".</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10</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Informar que o Cronograma de Pagamentos apresenta o valor oficial e atualizado para pagamento, incluindo descontos por amortização quando aplicáveis e atualizações financeiras de parcelas vencidas.</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11</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O cliente conseguiu acessar o Cronograma de Pagamentos?</w:t>
            </w:r>
          </w:p>
          <w:p>
            <w:pPr>
              <w:spacing w:after="40"/>
            </w:pPr>
            <w:r>
              <w:rPr>
                <w:b w:val="false"/>
                <w:bCs w:val="false"/>
                <w:color w:val="000000"/>
                <w:sz w:val="19"/>
                <w:szCs w:val="19"/>
              </w:rPr>
              <w:t xml:space="preserve">• Sim: Prosseguir para etapa 12.</w:t>
            </w:r>
          </w:p>
          <w:p>
            <w:pPr>
              <w:spacing w:after="40"/>
            </w:pPr>
            <w:r>
              <w:rPr>
                <w:b w:val="false"/>
                <w:bCs w:val="false"/>
                <w:color w:val="000000"/>
                <w:sz w:val="19"/>
                <w:szCs w:val="19"/>
              </w:rPr>
              <w:t xml:space="preserve">• Não: Prosseguir para etapa 13.</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12</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Informar que o cliente poderá selecionar livremente uma ou mais parcelas para antecipação, quitar parcelas vencidas, gerar Pix, emitir boleto ou realizar a quitação integral da operação diretamente pelo Cronograma de Pagamentos.</w:t>
            </w:r>
          </w:p>
          <w:p>
            <w:pPr>
              <w:spacing w:after="40"/>
            </w:pPr>
            <w:r>
              <w:rPr>
                <w:b w:val="false"/>
                <w:bCs w:val="false"/>
                <w:color w:val="000000"/>
                <w:sz w:val="19"/>
                <w:szCs w:val="19"/>
              </w:rPr>
              <w:t xml:space="preserve">Encerrar atendimento com a tabulação: TABULAÇÃO: Produto: Empréstimo Pessoal &gt; Motivo: Pagamento &gt; Detalhe: Cronograma de Pagamentos.</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13</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Solicitar evidências da falha apresentada pelo cliente e registrar requisição para o Suporte Técnico através do fluxo interno vigente, anexando as evidências recebidas e descrevendo detalhadamente o erro reportado para análise da indisponibilidade do Cronograma de Pagamentos.</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14</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Informar ao cliente que o prazo para análise da ocorrência é de até 48 horas.</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Produtos</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48 Horas</w:t>
            </w:r>
          </w:p>
        </w:tc>
      </w:tr>
      <w:tr>
        <w:tc>
          <w:tcPr>
            <w:tcW w:type="dxa" w:w="700"/>
            <w:tcMar>
              <w:top w:type="dxa" w:w="80"/>
              <w:left w:type="dxa" w:w="100"/>
              <w:bottom w:type="dxa" w:w="80"/>
              <w:right w:type="dxa" w:w="100"/>
            </w:tcMar>
            <w:vAlign w:val="center"/>
          </w:tcPr>
          <w:p>
            <w:r>
              <w:rPr>
                <w:b/>
                <w:bCs/>
                <w:color w:val="000000"/>
                <w:sz w:val="19"/>
                <w:szCs w:val="19"/>
              </w:rPr>
              <w:t xml:space="preserve">15</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O cliente deseja aguardar a análise do Suporte Técnico?</w:t>
            </w:r>
          </w:p>
          <w:p>
            <w:pPr>
              <w:spacing w:after="40"/>
            </w:pPr>
            <w:r>
              <w:rPr>
                <w:b w:val="false"/>
                <w:bCs w:val="false"/>
                <w:color w:val="000000"/>
                <w:sz w:val="19"/>
                <w:szCs w:val="19"/>
              </w:rPr>
              <w:t xml:space="preserve">• Sim: Encerrar atendimento com a tabulação: TABULAÇÃO: Produto: Empréstimo Pessoal &gt; Motivo: Erros e Bugs.</w:t>
            </w:r>
          </w:p>
          <w:p>
            <w:pPr>
              <w:spacing w:after="40"/>
            </w:pPr>
            <w:r>
              <w:rPr>
                <w:b w:val="false"/>
                <w:bCs w:val="false"/>
                <w:color w:val="000000"/>
                <w:sz w:val="19"/>
                <w:szCs w:val="19"/>
              </w:rPr>
              <w:t xml:space="preserve">• Não: Prosseguir para etapa 16.</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shd w:fill="F2F2F2" w:color="auto" w:val="clear"/>
            <w:tcMar>
              <w:top w:type="dxa" w:w="80"/>
              <w:left w:type="dxa" w:w="100"/>
              <w:bottom w:type="dxa" w:w="80"/>
              <w:right w:type="dxa" w:w="100"/>
            </w:tcMar>
            <w:vAlign w:val="center"/>
          </w:tcPr>
          <w:p>
            <w:r>
              <w:rPr>
                <w:b/>
                <w:bCs/>
                <w:color w:val="000000"/>
                <w:sz w:val="19"/>
                <w:szCs w:val="19"/>
              </w:rPr>
              <w:t xml:space="preserve">16</w:t>
            </w:r>
          </w:p>
        </w:tc>
        <w:tc>
          <w:tcPr>
            <w:tcW w:type="dxa" w:w="4600"/>
            <w:shd w:fill="F2F2F2" w:color="auto" w:val="clear"/>
            <w:tcMar>
              <w:top w:type="dxa" w:w="80"/>
              <w:left w:type="dxa" w:w="100"/>
              <w:bottom w:type="dxa" w:w="80"/>
              <w:right w:type="dxa" w:w="100"/>
            </w:tcMar>
            <w:vAlign w:val="center"/>
          </w:tcPr>
          <w:p>
            <w:pPr>
              <w:spacing w:after="40"/>
            </w:pPr>
            <w:r>
              <w:rPr>
                <w:b w:val="false"/>
                <w:bCs w:val="false"/>
                <w:color w:val="000000"/>
                <w:sz w:val="19"/>
                <w:szCs w:val="19"/>
              </w:rPr>
              <w:t xml:space="preserve">Encaminhar ao cliente o canal de contato da equipe de pagamentos com o link do WhatsApp de contato!</w:t>
            </w:r>
          </w:p>
        </w:tc>
        <w:tc>
          <w:tcPr>
            <w:tcW w:type="dxa" w:w="1800"/>
            <w:shd w:fill="F2F2F2" w:color="auto" w:val="clear"/>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shd w:fill="F2F2F2" w:color="auto" w:val="clear"/>
            <w:tcMar>
              <w:top w:type="dxa" w:w="80"/>
              <w:left w:type="dxa" w:w="100"/>
              <w:bottom w:type="dxa" w:w="80"/>
              <w:right w:type="dxa" w:w="100"/>
            </w:tcMar>
            <w:vAlign w:val="center"/>
          </w:tcPr>
          <w:p>
            <w:r>
              <w:rPr>
                <w:b w:val="false"/>
                <w:bCs w:val="false"/>
                <w:color w:val="000000"/>
                <w:sz w:val="19"/>
                <w:szCs w:val="19"/>
              </w:rPr>
              <w:t xml:space="preserve">Imediato</w:t>
            </w:r>
          </w:p>
        </w:tc>
      </w:tr>
      <w:tr>
        <w:tc>
          <w:tcPr>
            <w:tcW w:type="dxa" w:w="700"/>
            <w:tcMar>
              <w:top w:type="dxa" w:w="80"/>
              <w:left w:type="dxa" w:w="100"/>
              <w:bottom w:type="dxa" w:w="80"/>
              <w:right w:type="dxa" w:w="100"/>
            </w:tcMar>
            <w:vAlign w:val="center"/>
          </w:tcPr>
          <w:p>
            <w:r>
              <w:rPr>
                <w:b/>
                <w:bCs/>
                <w:color w:val="000000"/>
                <w:sz w:val="19"/>
                <w:szCs w:val="19"/>
              </w:rPr>
              <w:t xml:space="preserve">17</w:t>
            </w:r>
          </w:p>
        </w:tc>
        <w:tc>
          <w:tcPr>
            <w:tcW w:type="dxa" w:w="4600"/>
            <w:tcMar>
              <w:top w:type="dxa" w:w="80"/>
              <w:left w:type="dxa" w:w="100"/>
              <w:bottom w:type="dxa" w:w="80"/>
              <w:right w:type="dxa" w:w="100"/>
            </w:tcMar>
            <w:vAlign w:val="center"/>
          </w:tcPr>
          <w:p>
            <w:pPr>
              <w:spacing w:after="40"/>
            </w:pPr>
            <w:r>
              <w:rPr>
                <w:b w:val="false"/>
                <w:bCs w:val="false"/>
                <w:color w:val="000000"/>
                <w:sz w:val="19"/>
                <w:szCs w:val="19"/>
              </w:rPr>
              <w:t xml:space="preserve">Orientar o cliente a não encaminhar repetidas mensagens, apenas encaminhar uma vez e aguardar o retorno do time.</w:t>
            </w:r>
          </w:p>
          <w:p>
            <w:pPr>
              <w:spacing w:after="40"/>
            </w:pPr>
            <w:r>
              <w:rPr>
                <w:b w:val="false"/>
                <w:bCs w:val="false"/>
                <w:color w:val="000000"/>
                <w:sz w:val="19"/>
                <w:szCs w:val="19"/>
              </w:rPr>
              <w:t xml:space="preserve">Finalizar o atendimento com a tabulação: TABULAÇÃO: Produto: Empréstimo Pessoal &gt; Motivo: Pagamentos &gt; Detalhes: Cronograma de Pagamentos.</w:t>
            </w:r>
          </w:p>
        </w:tc>
        <w:tc>
          <w:tcPr>
            <w:tcW w:type="dxa" w:w="1800"/>
            <w:tcMar>
              <w:top w:type="dxa" w:w="80"/>
              <w:left w:type="dxa" w:w="100"/>
              <w:bottom w:type="dxa" w:w="80"/>
              <w:right w:type="dxa" w:w="100"/>
            </w:tcMar>
            <w:vAlign w:val="center"/>
          </w:tcPr>
          <w:p>
            <w:r>
              <w:rPr>
                <w:b w:val="false"/>
                <w:bCs w:val="false"/>
                <w:color w:val="000000"/>
                <w:sz w:val="19"/>
                <w:szCs w:val="19"/>
              </w:rPr>
              <w:t xml:space="preserve">Atendente</w:t>
            </w:r>
          </w:p>
        </w:tc>
        <w:tc>
          <w:tcPr>
            <w:tcW w:type="dxa" w:w="1300"/>
            <w:tcMar>
              <w:top w:type="dxa" w:w="80"/>
              <w:left w:type="dxa" w:w="100"/>
              <w:bottom w:type="dxa" w:w="80"/>
              <w:right w:type="dxa" w:w="100"/>
            </w:tcMar>
            <w:vAlign w:val="center"/>
          </w:tcPr>
          <w:p>
            <w:r>
              <w:rPr>
                <w:b w:val="false"/>
                <w:bCs w:val="false"/>
                <w:color w:val="000000"/>
                <w:sz w:val="19"/>
                <w:szCs w:val="19"/>
              </w:rPr>
              <w:t xml:space="preserve">Imediato</w:t>
            </w:r>
          </w:p>
        </w:tc>
      </w:tr>
    </w:tbl>
    <w:p>
      <w:pPr>
        <w:pStyle w:val="Heading1"/>
        <w:pBdr>
          <w:bottom w:val="single" w:color="1F3864" w:sz="6" w:space="4"/>
        </w:pBdr>
        <w:spacing w:after="120" w:before="300"/>
      </w:pPr>
      <w:r>
        <w:rPr>
          <w:b/>
          <w:bCs/>
          <w:color w:val="1F3864"/>
          <w:sz w:val="26"/>
          <w:szCs w:val="26"/>
        </w:rPr>
        <w:t xml:space="preserve">3. Pontos de Atenção e Regras do Processo</w:t>
      </w:r>
    </w:p>
    <w:p>
      <w:pPr>
        <w:pStyle w:val="ListParagraph"/>
        <w:numPr>
          <w:ilvl w:val="0"/>
          <w:numId w:val="1"/>
        </w:numPr>
        <w:spacing w:after="60"/>
      </w:pPr>
      <w:r>
        <w:rPr>
          <w:sz w:val="21"/>
          <w:szCs w:val="21"/>
        </w:rPr>
        <w:t xml:space="preserve">Este procedimento aplica-se exclusivamente às operações de Empréstimo Pessoal disponibilizadas pela Velotax.</w:t>
      </w:r>
    </w:p>
    <w:p>
      <w:pPr>
        <w:pStyle w:val="ListParagraph"/>
        <w:numPr>
          <w:ilvl w:val="0"/>
          <w:numId w:val="1"/>
        </w:numPr>
        <w:spacing w:after="60"/>
      </w:pPr>
      <w:r>
        <w:rPr>
          <w:sz w:val="21"/>
          <w:szCs w:val="21"/>
        </w:rPr>
        <w:t xml:space="preserve">O valor oficial para pagamento, amortização ou quitação da operação estará disponível exclusivamente no Cronograma de Pagamentos.</w:t>
      </w:r>
    </w:p>
    <w:p>
      <w:pPr>
        <w:pStyle w:val="ListParagraph"/>
        <w:numPr>
          <w:ilvl w:val="0"/>
          <w:numId w:val="1"/>
        </w:numPr>
        <w:spacing w:after="60"/>
      </w:pPr>
      <w:r>
        <w:rPr>
          <w:sz w:val="21"/>
          <w:szCs w:val="21"/>
        </w:rPr>
        <w:t xml:space="preserve">Os valores apresentados no CRM possuem caráter informativo e representam os valores originalmente registrados na contratação da operação.</w:t>
      </w:r>
    </w:p>
    <w:p>
      <w:pPr>
        <w:pStyle w:val="ListParagraph"/>
        <w:numPr>
          <w:ilvl w:val="0"/>
          <w:numId w:val="1"/>
        </w:numPr>
        <w:spacing w:after="60"/>
      </w:pPr>
      <w:r>
        <w:rPr>
          <w:sz w:val="21"/>
          <w:szCs w:val="21"/>
        </w:rPr>
        <w:t xml:space="preserve">O CRM não apresenta descontos decorrentes de amortização, valores atualizados para liquidação antecipada, juros por atraso, multas ou demais atualizações financeiras aplicáveis na data do pagamento.</w:t>
      </w:r>
    </w:p>
    <w:p>
      <w:pPr>
        <w:pStyle w:val="ListParagraph"/>
        <w:numPr>
          <w:ilvl w:val="0"/>
          <w:numId w:val="1"/>
        </w:numPr>
        <w:spacing w:after="60"/>
      </w:pPr>
      <w:r>
        <w:rPr>
          <w:sz w:val="21"/>
          <w:szCs w:val="21"/>
        </w:rPr>
        <w:t xml:space="preserve">O atendente não possui acesso aos valores atualizados exibidos no Cronograma de Pagamentos.</w:t>
      </w:r>
    </w:p>
    <w:p>
      <w:pPr>
        <w:pStyle w:val="ListParagraph"/>
        <w:numPr>
          <w:ilvl w:val="0"/>
          <w:numId w:val="1"/>
        </w:numPr>
        <w:spacing w:after="60"/>
      </w:pPr>
      <w:r>
        <w:rPr>
          <w:sz w:val="21"/>
          <w:szCs w:val="21"/>
        </w:rPr>
        <w:t xml:space="preserve">O Cronograma de Pagamentos é a única funcionalidade disponibilizada ao cliente para consulta dos valores oficiais para pagamento da operação.</w:t>
      </w:r>
    </w:p>
    <w:p>
      <w:pPr>
        <w:pStyle w:val="ListParagraph"/>
        <w:numPr>
          <w:ilvl w:val="0"/>
          <w:numId w:val="1"/>
        </w:numPr>
        <w:spacing w:after="60"/>
      </w:pPr>
      <w:r>
        <w:rPr>
          <w:sz w:val="21"/>
          <w:szCs w:val="21"/>
        </w:rPr>
        <w:t xml:space="preserve">O cliente poderá acessar o Cronograma de Pagamentos através do aplicativo Velotax seguindo o caminho: Tela Inicial → menu (três traços) localizado no canto superior direito → Documentos → rolar a tela até localizar a opção "Cronograma de Pagamentos".</w:t>
      </w:r>
    </w:p>
    <w:p>
      <w:pPr>
        <w:pStyle w:val="ListParagraph"/>
        <w:numPr>
          <w:ilvl w:val="0"/>
          <w:numId w:val="1"/>
        </w:numPr>
        <w:spacing w:after="60"/>
      </w:pPr>
      <w:r>
        <w:rPr>
          <w:sz w:val="21"/>
          <w:szCs w:val="21"/>
        </w:rPr>
        <w:t xml:space="preserve">Através do Cronograma de Pagamentos o cliente poderá consultar os valores atualizados da operação, gerar Pix, emitir boleto, antecipar parcelas e realizar a quitação integral do contrato.</w:t>
      </w:r>
    </w:p>
    <w:p>
      <w:pPr>
        <w:pStyle w:val="ListParagraph"/>
        <w:numPr>
          <w:ilvl w:val="0"/>
          <w:numId w:val="1"/>
        </w:numPr>
        <w:spacing w:after="60"/>
      </w:pPr>
      <w:r>
        <w:rPr>
          <w:sz w:val="21"/>
          <w:szCs w:val="21"/>
        </w:rPr>
        <w:t xml:space="preserve">O cliente poderá selecionar livremente uma ou mais parcelas para antecipação através do Cronograma de Pagamentos.</w:t>
      </w:r>
    </w:p>
    <w:p>
      <w:pPr>
        <w:pStyle w:val="ListParagraph"/>
        <w:numPr>
          <w:ilvl w:val="0"/>
          <w:numId w:val="1"/>
        </w:numPr>
        <w:spacing w:after="60"/>
      </w:pPr>
      <w:r>
        <w:rPr>
          <w:sz w:val="21"/>
          <w:szCs w:val="21"/>
        </w:rPr>
        <w:t xml:space="preserve">Não existem restrições quanto à seleção de parcelas para antecipação, desde que estejam disponíveis para pagamento no Cronograma de Pagamentos.</w:t>
      </w:r>
    </w:p>
    <w:p>
      <w:pPr>
        <w:pStyle w:val="ListParagraph"/>
        <w:numPr>
          <w:ilvl w:val="0"/>
          <w:numId w:val="1"/>
        </w:numPr>
        <w:spacing w:after="60"/>
      </w:pPr>
      <w:r>
        <w:rPr>
          <w:sz w:val="21"/>
          <w:szCs w:val="21"/>
        </w:rPr>
        <w:t xml:space="preserve">As parcelas antecipadas receberão amortização proporcional dos juros e encargos futuros aplicáveis à parcela selecionada.</w:t>
      </w:r>
    </w:p>
    <w:p>
      <w:pPr>
        <w:pStyle w:val="ListParagraph"/>
        <w:numPr>
          <w:ilvl w:val="0"/>
          <w:numId w:val="1"/>
        </w:numPr>
        <w:spacing w:after="60"/>
      </w:pPr>
      <w:r>
        <w:rPr>
          <w:sz w:val="21"/>
          <w:szCs w:val="21"/>
        </w:rPr>
        <w:t xml:space="preserve">A amortização não altera o cronograma original da operação, permanecendo inalteradas as datas de vencimento das demais parcelas do contrato.</w:t>
      </w:r>
    </w:p>
    <w:p>
      <w:pPr>
        <w:pStyle w:val="ListParagraph"/>
        <w:numPr>
          <w:ilvl w:val="0"/>
          <w:numId w:val="1"/>
        </w:numPr>
        <w:spacing w:after="60"/>
      </w:pPr>
      <w:r>
        <w:rPr>
          <w:sz w:val="21"/>
          <w:szCs w:val="21"/>
        </w:rPr>
        <w:t xml:space="preserve">A quitação integral da operação também receberá amortização proporcional dos juros e encargos futuros aplicáveis ao saldo remanescente do contrato.</w:t>
      </w:r>
    </w:p>
    <w:p>
      <w:pPr>
        <w:pStyle w:val="ListParagraph"/>
        <w:numPr>
          <w:ilvl w:val="0"/>
          <w:numId w:val="1"/>
        </w:numPr>
        <w:spacing w:after="60"/>
      </w:pPr>
      <w:r>
        <w:rPr>
          <w:sz w:val="21"/>
          <w:szCs w:val="21"/>
        </w:rPr>
        <w:t xml:space="preserve">O cliente poderá realizar a liquidação de parcelas vencidas através do Cronograma de Pagamentos.</w:t>
      </w:r>
    </w:p>
    <w:p>
      <w:pPr>
        <w:pStyle w:val="ListParagraph"/>
        <w:numPr>
          <w:ilvl w:val="0"/>
          <w:numId w:val="1"/>
        </w:numPr>
        <w:spacing w:after="60"/>
      </w:pPr>
      <w:r>
        <w:rPr>
          <w:sz w:val="21"/>
          <w:szCs w:val="21"/>
        </w:rPr>
        <w:t xml:space="preserve">Nos casos de parcelas vencidas, os valores exibidos no Cronograma de Pagamentos poderão ser diferentes dos valores visualizados no CRM em razão da aplicação de juros, multas ou demais encargos previstos contratualmente.</w:t>
      </w:r>
    </w:p>
    <w:p>
      <w:pPr>
        <w:pStyle w:val="ListParagraph"/>
        <w:numPr>
          <w:ilvl w:val="0"/>
          <w:numId w:val="1"/>
        </w:numPr>
        <w:spacing w:after="60"/>
      </w:pPr>
      <w:r>
        <w:rPr>
          <w:sz w:val="21"/>
          <w:szCs w:val="21"/>
        </w:rPr>
        <w:t xml:space="preserve">O status da operação, quantidade de parcelas, situação das parcelas, datas de vencimento, pagamentos realizados e demais informações cadastrais poderão ser consultados através do CRM.</w:t>
      </w:r>
    </w:p>
    <w:p>
      <w:pPr>
        <w:pStyle w:val="ListParagraph"/>
        <w:numPr>
          <w:ilvl w:val="0"/>
          <w:numId w:val="1"/>
        </w:numPr>
        <w:spacing w:after="60"/>
      </w:pPr>
      <w:r>
        <w:rPr>
          <w:sz w:val="21"/>
          <w:szCs w:val="21"/>
        </w:rPr>
        <w:t xml:space="preserve">Após a quitação integral da operação, o contrato passará a constar como quitado no CRM.</w:t>
      </w:r>
    </w:p>
    <w:p>
      <w:pPr>
        <w:pStyle w:val="ListParagraph"/>
        <w:numPr>
          <w:ilvl w:val="0"/>
          <w:numId w:val="1"/>
        </w:numPr>
        <w:spacing w:after="60"/>
      </w:pPr>
      <w:r>
        <w:rPr>
          <w:sz w:val="21"/>
          <w:szCs w:val="21"/>
        </w:rPr>
        <w:t xml:space="preserve">Após a quitação integral da operação, o Cronograma de Pagamentos deixará de ser disponibilizado ao cliente no aplicativo, permanecendo acessíveis apenas os documentos da operação.</w:t>
      </w:r>
    </w:p>
    <w:p>
      <w:pPr>
        <w:pStyle w:val="ListParagraph"/>
        <w:numPr>
          <w:ilvl w:val="0"/>
          <w:numId w:val="1"/>
        </w:numPr>
        <w:spacing w:after="60"/>
      </w:pPr>
      <w:r>
        <w:rPr>
          <w:sz w:val="21"/>
          <w:szCs w:val="21"/>
        </w:rPr>
        <w:t xml:space="preserve">A Carta de Quitação somente poderá ser solicitada para operações integralmente quitadas.</w:t>
      </w:r>
    </w:p>
    <w:p>
      <w:pPr>
        <w:pStyle w:val="ListParagraph"/>
        <w:numPr>
          <w:ilvl w:val="0"/>
          <w:numId w:val="1"/>
        </w:numPr>
        <w:spacing w:after="60"/>
      </w:pPr>
      <w:r>
        <w:rPr>
          <w:sz w:val="21"/>
          <w:szCs w:val="21"/>
        </w:rPr>
        <w:t xml:space="preserve">A emissão da Carta de Quitação deverá ser solicitada ao Suporte de Atendimento durante o atendimento ao cliente.</w:t>
      </w:r>
    </w:p>
    <w:p>
      <w:pPr>
        <w:pStyle w:val="ListParagraph"/>
        <w:numPr>
          <w:ilvl w:val="0"/>
          <w:numId w:val="1"/>
        </w:numPr>
        <w:spacing w:after="60"/>
      </w:pPr>
      <w:r>
        <w:rPr>
          <w:sz w:val="21"/>
          <w:szCs w:val="21"/>
        </w:rPr>
        <w:t xml:space="preserve">O comprovante de pagamento realizado via Pix ou boleto poderá ser utilizado pelo cliente como comprovante da liquidação realizada.</w:t>
      </w:r>
    </w:p>
    <w:p>
      <w:pPr>
        <w:pStyle w:val="ListParagraph"/>
        <w:numPr>
          <w:ilvl w:val="0"/>
          <w:numId w:val="1"/>
        </w:numPr>
        <w:spacing w:after="60"/>
      </w:pPr>
      <w:r>
        <w:rPr>
          <w:sz w:val="21"/>
          <w:szCs w:val="21"/>
        </w:rPr>
        <w:t xml:space="preserve">Caso o cliente não consiga acessar o Cronograma de Pagamentos por erro ou indisponibilidade do aplicativo, deverão ser solicitadas evidências para análise pelo Suporte Técnico.</w:t>
      </w:r>
    </w:p>
    <w:p>
      <w:pPr>
        <w:pStyle w:val="ListParagraph"/>
        <w:numPr>
          <w:ilvl w:val="0"/>
          <w:numId w:val="1"/>
        </w:numPr>
        <w:spacing w:after="60"/>
      </w:pPr>
      <w:r>
        <w:rPr>
          <w:sz w:val="21"/>
          <w:szCs w:val="21"/>
        </w:rPr>
        <w:t xml:space="preserve">O prazo para análise de falhas relacionadas ao Cronograma de Pagamentos é de até 48 horas.</w:t>
      </w:r>
    </w:p>
    <w:p>
      <w:pPr>
        <w:pStyle w:val="ListParagraph"/>
        <w:numPr>
          <w:ilvl w:val="0"/>
          <w:numId w:val="1"/>
        </w:numPr>
        <w:spacing w:after="60"/>
      </w:pPr>
      <w:r>
        <w:rPr>
          <w:sz w:val="21"/>
          <w:szCs w:val="21"/>
        </w:rPr>
        <w:t xml:space="preserve">Caso o cliente não deseje aguardar a análise do Suporte Técnico, poderá ser registrada solicitação para o Suporte de Atendimento acionar a Equipe de Cobrança para emissão de link de pagamento em caráter contingencial.</w:t>
      </w:r>
    </w:p>
    <w:p>
      <w:pPr>
        <w:pStyle w:val="ListParagraph"/>
        <w:numPr>
          <w:ilvl w:val="0"/>
          <w:numId w:val="1"/>
        </w:numPr>
        <w:spacing w:after="60"/>
      </w:pPr>
      <w:r>
        <w:rPr>
          <w:sz w:val="21"/>
          <w:szCs w:val="21"/>
        </w:rPr>
        <w:t xml:space="preserve">O prazo para envio do link de pagamento é de até 1 dia útil, podendo ocorrer no mesmo dia da solicitação.</w:t>
      </w:r>
    </w:p>
    <w:p>
      <w:pPr>
        <w:pStyle w:val="ListParagraph"/>
        <w:numPr>
          <w:ilvl w:val="0"/>
          <w:numId w:val="1"/>
        </w:numPr>
        <w:spacing w:after="60"/>
      </w:pPr>
      <w:r>
        <w:rPr>
          <w:sz w:val="21"/>
          <w:szCs w:val="21"/>
        </w:rPr>
        <w:t xml:space="preserve">O link de pagamento deverá considerar a data da solicitação para cálculo dos valores atualizados da operação.</w:t>
      </w:r>
    </w:p>
    <w:p>
      <w:pPr>
        <w:pStyle w:val="ListParagraph"/>
        <w:numPr>
          <w:ilvl w:val="0"/>
          <w:numId w:val="1"/>
        </w:numPr>
        <w:spacing w:after="60"/>
      </w:pPr>
      <w:r>
        <w:rPr>
          <w:sz w:val="21"/>
          <w:szCs w:val="21"/>
        </w:rPr>
        <w:t xml:space="preserve">O encaminhamento de solicitações para Suporte de Atendimento, Suporte Técnico ou Equipe de Cobrança deverá ser devidamente registrado no CRM.</w:t>
      </w:r>
    </w:p>
    <w:p>
      <w:pPr>
        <w:pStyle w:val="Heading1"/>
        <w:pBdr>
          <w:bottom w:val="single" w:color="1F3864" w:sz="6" w:space="4"/>
        </w:pBdr>
        <w:spacing w:after="120" w:before="300"/>
      </w:pPr>
      <w:r>
        <w:rPr>
          <w:b/>
          <w:bCs/>
          <w:color w:val="1F3864"/>
          <w:sz w:val="26"/>
          <w:szCs w:val="26"/>
        </w:rPr>
        <w:t xml:space="preserve">4. SLA e Prazos de Atendimento</w:t>
      </w:r>
    </w:p>
    <w:p>
      <w:pPr>
        <w:spacing w:after="120"/>
      </w:pPr>
      <w:r>
        <w:rPr>
          <w:sz w:val="21"/>
          <w:szCs w:val="21"/>
        </w:rPr>
        <w:t xml:space="preserve">Imediato — identificação da solicitação, consulta das informações da operação no CRM e orientações prestadas ao cliente durante o atendimento. (Etapas 1 a 4, 6 a 12 e 17).</w:t>
      </w:r>
    </w:p>
    <w:p>
      <w:pPr>
        <w:spacing w:after="120"/>
      </w:pPr>
      <w:r>
        <w:rPr>
          <w:sz w:val="21"/>
          <w:szCs w:val="21"/>
        </w:rPr>
        <w:t xml:space="preserve">24 horas — emissão e envio da Carta de Quitação pelo Suporte de Atendimento após registro da solicitação. (Etapa 5).</w:t>
      </w:r>
    </w:p>
    <w:p>
      <w:pPr>
        <w:spacing w:after="120"/>
      </w:pPr>
      <w:r>
        <w:rPr>
          <w:sz w:val="21"/>
          <w:szCs w:val="21"/>
        </w:rPr>
        <w:t xml:space="preserve">48 horas — análise, pelo Suporte Técnico, das falhas ou indisponibilidades do Cronograma de Pagamentos reportadas no atendimento. (Etapas 13 e 14).</w:t>
      </w:r>
    </w:p>
    <w:p>
      <w:pPr>
        <w:spacing w:after="120"/>
      </w:pPr>
      <w:r>
        <w:rPr>
          <w:sz w:val="21"/>
          <w:szCs w:val="21"/>
        </w:rPr>
        <w:t xml:space="preserve">1 dia útil — emissão e envio do link de pagamento em caráter contingencial pela Equipe de Cobrança, podendo ocorrer no mesmo dia da solicitação. (Etapas 15 e 16).</w:t>
      </w:r>
    </w:p>
    <w:p>
      <w:pPr>
        <w:pStyle w:val="Heading1"/>
        <w:pBdr>
          <w:bottom w:val="single" w:color="1F3864" w:sz="6" w:space="4"/>
        </w:pBdr>
        <w:spacing w:after="120" w:before="300"/>
      </w:pPr>
      <w:r>
        <w:rPr>
          <w:b/>
          <w:bCs/>
          <w:color w:val="1F3864"/>
          <w:sz w:val="26"/>
          <w:szCs w:val="26"/>
        </w:rPr>
        <w:t xml:space="preserve">5. Informações para Consulta no CRM</w:t>
      </w:r>
    </w:p>
    <w:p>
      <w:pPr>
        <w:pStyle w:val="ListParagraph"/>
        <w:numPr>
          <w:ilvl w:val="0"/>
          <w:numId w:val="1"/>
        </w:numPr>
        <w:spacing w:after="60"/>
      </w:pPr>
      <w:r>
        <w:rPr>
          <w:sz w:val="21"/>
          <w:szCs w:val="21"/>
        </w:rPr>
        <w:t xml:space="preserve">Status do Contrato</w:t>
      </w:r>
    </w:p>
    <w:p>
      <w:pPr>
        <w:pStyle w:val="ListParagraph"/>
        <w:numPr>
          <w:ilvl w:val="0"/>
          <w:numId w:val="1"/>
        </w:numPr>
        <w:spacing w:after="60"/>
      </w:pPr>
      <w:r>
        <w:rPr>
          <w:sz w:val="21"/>
          <w:szCs w:val="21"/>
        </w:rPr>
        <w:t xml:space="preserve">Valor Depositado</w:t>
      </w:r>
    </w:p>
    <w:p>
      <w:pPr>
        <w:pStyle w:val="ListParagraph"/>
        <w:numPr>
          <w:ilvl w:val="0"/>
          <w:numId w:val="1"/>
        </w:numPr>
        <w:spacing w:after="60"/>
      </w:pPr>
      <w:r>
        <w:rPr>
          <w:sz w:val="21"/>
          <w:szCs w:val="21"/>
        </w:rPr>
        <w:t xml:space="preserve">Valor Total Devido</w:t>
      </w:r>
    </w:p>
    <w:p>
      <w:pPr>
        <w:pStyle w:val="ListParagraph"/>
        <w:numPr>
          <w:ilvl w:val="0"/>
          <w:numId w:val="1"/>
        </w:numPr>
        <w:spacing w:after="60"/>
      </w:pPr>
      <w:r>
        <w:rPr>
          <w:sz w:val="21"/>
          <w:szCs w:val="21"/>
        </w:rPr>
        <w:t xml:space="preserve">Data de Desembolso</w:t>
      </w:r>
    </w:p>
    <w:p>
      <w:pPr>
        <w:pStyle w:val="ListParagraph"/>
        <w:numPr>
          <w:ilvl w:val="0"/>
          <w:numId w:val="1"/>
        </w:numPr>
        <w:spacing w:after="60"/>
      </w:pPr>
      <w:r>
        <w:rPr>
          <w:sz w:val="21"/>
          <w:szCs w:val="21"/>
        </w:rPr>
        <w:t xml:space="preserve">Número da CCB</w:t>
      </w:r>
    </w:p>
    <w:p>
      <w:pPr>
        <w:pStyle w:val="ListParagraph"/>
        <w:numPr>
          <w:ilvl w:val="0"/>
          <w:numId w:val="1"/>
        </w:numPr>
        <w:spacing w:after="60"/>
      </w:pPr>
      <w:r>
        <w:rPr>
          <w:sz w:val="21"/>
          <w:szCs w:val="21"/>
        </w:rPr>
        <w:t xml:space="preserve">Quantidade de Parcelas</w:t>
      </w:r>
    </w:p>
    <w:p>
      <w:pPr>
        <w:pStyle w:val="ListParagraph"/>
        <w:numPr>
          <w:ilvl w:val="0"/>
          <w:numId w:val="1"/>
        </w:numPr>
        <w:spacing w:after="60"/>
      </w:pPr>
      <w:r>
        <w:rPr>
          <w:sz w:val="21"/>
          <w:szCs w:val="21"/>
        </w:rPr>
        <w:t xml:space="preserve">Parcelas da Operação</w:t>
      </w:r>
    </w:p>
    <w:p>
      <w:pPr>
        <w:pStyle w:val="ListParagraph"/>
        <w:numPr>
          <w:ilvl w:val="0"/>
          <w:numId w:val="1"/>
        </w:numPr>
        <w:spacing w:after="60"/>
      </w:pPr>
      <w:r>
        <w:rPr>
          <w:sz w:val="21"/>
          <w:szCs w:val="21"/>
        </w:rPr>
        <w:t xml:space="preserve">Data de Vencimento das Parcelas</w:t>
      </w:r>
    </w:p>
    <w:p>
      <w:pPr>
        <w:pStyle w:val="ListParagraph"/>
        <w:numPr>
          <w:ilvl w:val="0"/>
          <w:numId w:val="1"/>
        </w:numPr>
        <w:spacing w:after="60"/>
      </w:pPr>
      <w:r>
        <w:rPr>
          <w:sz w:val="21"/>
          <w:szCs w:val="21"/>
        </w:rPr>
        <w:t xml:space="preserve">Valor das Parcelas</w:t>
      </w:r>
    </w:p>
    <w:p>
      <w:pPr>
        <w:pStyle w:val="ListParagraph"/>
        <w:numPr>
          <w:ilvl w:val="0"/>
          <w:numId w:val="1"/>
        </w:numPr>
        <w:spacing w:after="60"/>
      </w:pPr>
      <w:r>
        <w:rPr>
          <w:sz w:val="21"/>
          <w:szCs w:val="21"/>
        </w:rPr>
        <w:t xml:space="preserve">Status de Pagamento das Parcelas</w:t>
      </w:r>
    </w:p>
    <w:p>
      <w:pPr>
        <w:pStyle w:val="ListParagraph"/>
        <w:numPr>
          <w:ilvl w:val="0"/>
          <w:numId w:val="1"/>
        </w:numPr>
        <w:spacing w:after="60"/>
      </w:pPr>
      <w:r>
        <w:rPr>
          <w:sz w:val="21"/>
          <w:szCs w:val="21"/>
        </w:rPr>
        <w:t xml:space="preserve">Valor Pago</w:t>
      </w:r>
    </w:p>
    <w:p>
      <w:pPr>
        <w:pStyle w:val="ListParagraph"/>
        <w:numPr>
          <w:ilvl w:val="0"/>
          <w:numId w:val="1"/>
        </w:numPr>
        <w:spacing w:after="60"/>
      </w:pPr>
      <w:r>
        <w:rPr>
          <w:sz w:val="21"/>
          <w:szCs w:val="21"/>
        </w:rPr>
        <w:t xml:space="preserve">Data do Pagamento</w:t>
      </w:r>
    </w:p>
    <w:p>
      <w:pPr>
        <w:pStyle w:val="ListParagraph"/>
        <w:numPr>
          <w:ilvl w:val="0"/>
          <w:numId w:val="1"/>
        </w:numPr>
        <w:spacing w:after="60"/>
      </w:pPr>
      <w:r>
        <w:rPr>
          <w:sz w:val="21"/>
          <w:szCs w:val="21"/>
        </w:rPr>
        <w:t xml:space="preserve">Registros de Solicitações Internas</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2026-08-18T12:33:09.663Z</dcterms:created>
  <dcterms:modified xsi:type="dcterms:W3CDTF">2026-08-18T12:33:09.663Z</dcterms:modified>
</cp:coreProperties>
</file>

<file path=docProps/custom.xml><?xml version="1.0" encoding="utf-8"?>
<Properties xmlns="http://schemas.openxmlformats.org/officeDocument/2006/custom-properties" xmlns:vt="http://schemas.openxmlformats.org/officeDocument/2006/docPropsVTypes"/>
</file>