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CA1EB" w14:textId="69E4B639" w:rsidR="00DE0A5A" w:rsidRDefault="00DE0A5A" w:rsidP="00DE0A5A">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t>Adrian Marquez</w:t>
      </w:r>
    </w:p>
    <w:p w14:paraId="6B535CA1" w14:textId="7DB3062E" w:rsidR="00DE0A5A" w:rsidRDefault="00DE0A5A" w:rsidP="00DE0A5A">
      <w:r>
        <w:tab/>
      </w:r>
      <w:r>
        <w:tab/>
      </w:r>
      <w:r>
        <w:tab/>
      </w:r>
      <w:r>
        <w:tab/>
      </w:r>
      <w:r>
        <w:tab/>
      </w:r>
      <w:r>
        <w:tab/>
      </w:r>
      <w:r>
        <w:tab/>
      </w:r>
      <w:r>
        <w:tab/>
      </w:r>
      <w:r>
        <w:tab/>
      </w:r>
      <w:r>
        <w:tab/>
        <w:t>Module 12.2</w:t>
      </w:r>
    </w:p>
    <w:p w14:paraId="3D39816E" w14:textId="77777777" w:rsidR="00DE0A5A" w:rsidRPr="00DE0A5A" w:rsidRDefault="00DE0A5A" w:rsidP="00DE0A5A"/>
    <w:p w14:paraId="4BE93C6F" w14:textId="05500A1A" w:rsidR="00DE0A5A" w:rsidRPr="00DE0A5A" w:rsidRDefault="00DE0A5A" w:rsidP="00DE0A5A">
      <w:pPr>
        <w:spacing w:line="480" w:lineRule="auto"/>
        <w:ind w:firstLine="720"/>
      </w:pPr>
      <w:r w:rsidRPr="00DE0A5A">
        <w:t>DevOps continues to reshape the way organizations build, test, and deploy software</w:t>
      </w:r>
      <w:r>
        <w:t xml:space="preserve">, </w:t>
      </w:r>
      <w:r w:rsidRPr="00DE0A5A">
        <w:t xml:space="preserve">especially in complex and regulated environments. Chapter 23 of </w:t>
      </w:r>
      <w:r w:rsidRPr="00DE0A5A">
        <w:rPr>
          <w:i/>
          <w:iCs/>
        </w:rPr>
        <w:t>The DevOps Handboo</w:t>
      </w:r>
      <w:r>
        <w:rPr>
          <w:i/>
          <w:iCs/>
        </w:rPr>
        <w:t>k</w:t>
      </w:r>
      <w:r>
        <w:t xml:space="preserve"> </w:t>
      </w:r>
      <w:r w:rsidRPr="00DE0A5A">
        <w:t>provides valuable insights through two case studies: “Providing Compliance in Regulated Environments” and “Relying on Production Telemetry for ATM Systems.”</w:t>
      </w:r>
      <w:r>
        <w:t xml:space="preserve"> </w:t>
      </w:r>
      <w:r w:rsidRPr="00DE0A5A">
        <w:t>These examples highlight how DevOps principles can support both regulatory compliance and operational resilience. While the environments differ</w:t>
      </w:r>
      <w:r>
        <w:t xml:space="preserve">, with </w:t>
      </w:r>
      <w:r w:rsidRPr="00DE0A5A">
        <w:t>one being a highly regulated industry and the other focused on critical uptime and user trust</w:t>
      </w:r>
      <w:r>
        <w:t xml:space="preserve">, </w:t>
      </w:r>
      <w:r w:rsidRPr="00DE0A5A">
        <w:t>they both underscore the value of automation, observability, and cultural transformation in delivering reliable software systems.</w:t>
      </w:r>
    </w:p>
    <w:p w14:paraId="4DC0416B" w14:textId="77777777" w:rsidR="00DE0A5A" w:rsidRPr="00DE0A5A" w:rsidRDefault="00DE0A5A" w:rsidP="00DE0A5A">
      <w:pPr>
        <w:spacing w:line="480" w:lineRule="auto"/>
        <w:rPr>
          <w:b/>
          <w:bCs/>
        </w:rPr>
      </w:pPr>
      <w:r w:rsidRPr="00DE0A5A">
        <w:rPr>
          <w:b/>
          <w:bCs/>
        </w:rPr>
        <w:t>Case Study 1: Providing Compliance in Regulated Environments</w:t>
      </w:r>
    </w:p>
    <w:p w14:paraId="639A9091" w14:textId="77777777" w:rsidR="00DE0A5A" w:rsidRPr="00DE0A5A" w:rsidRDefault="00DE0A5A" w:rsidP="00DE0A5A">
      <w:pPr>
        <w:spacing w:line="480" w:lineRule="auto"/>
        <w:ind w:firstLine="720"/>
      </w:pPr>
      <w:r w:rsidRPr="00DE0A5A">
        <w:t>This case study focuses on how a large financial institution adopted DevOps practices while still adhering to strict regulatory and compliance standards. Traditionally, regulated industries like banking or healthcare resist change because of heavy oversight and risk aversion. But the authors show that DevOps, when implemented carefully, can actually enhance compliance rather than undermine it.</w:t>
      </w:r>
    </w:p>
    <w:p w14:paraId="3BA8FDB1" w14:textId="4DF468AD" w:rsidR="00DE0A5A" w:rsidRPr="00DE0A5A" w:rsidRDefault="00DE0A5A" w:rsidP="00DE0A5A">
      <w:pPr>
        <w:spacing w:line="480" w:lineRule="auto"/>
        <w:ind w:firstLine="720"/>
      </w:pPr>
      <w:r w:rsidRPr="00DE0A5A">
        <w:t>One key takeaway from the case is the use of automated audit trails. Instead of relying on manual documentation and checklists, the organization used tools to log changes, tests, deployments, and access</w:t>
      </w:r>
      <w:r>
        <w:t xml:space="preserve">, </w:t>
      </w:r>
      <w:r w:rsidRPr="00DE0A5A">
        <w:t xml:space="preserve">all automatically. This not only reduced human error but also created a more transparent and searchable record for auditors. Another </w:t>
      </w:r>
      <w:r w:rsidRPr="00DE0A5A">
        <w:lastRenderedPageBreak/>
        <w:t>important strategy was “shifting compliance left”</w:t>
      </w:r>
      <w:r>
        <w:t xml:space="preserve">, </w:t>
      </w:r>
      <w:r w:rsidRPr="00DE0A5A">
        <w:t>meaning they embedded compliance checks earlier in the development cycle. For example, developers were trained to write code with compliance in mind, and automated tools scanned for security and compliance violations as part of the CI/CD pipeline.</w:t>
      </w:r>
    </w:p>
    <w:p w14:paraId="5D19422C" w14:textId="77777777" w:rsidR="00DE0A5A" w:rsidRPr="00DE0A5A" w:rsidRDefault="00DE0A5A" w:rsidP="00DE0A5A">
      <w:pPr>
        <w:spacing w:line="480" w:lineRule="auto"/>
        <w:ind w:firstLine="720"/>
      </w:pPr>
      <w:r w:rsidRPr="00DE0A5A">
        <w:t>The biggest lesson here is that compliance doesn’t need to slow down innovation. With the right tooling and mindset, compliance can become a built-in feature of the software delivery process. Automation increases consistency and trust, while real-time monitoring and feedback loops make compliance efforts more proactive and less reactive.</w:t>
      </w:r>
    </w:p>
    <w:p w14:paraId="2D0C67C7" w14:textId="77777777" w:rsidR="00DE0A5A" w:rsidRPr="00DE0A5A" w:rsidRDefault="00DE0A5A" w:rsidP="00DE0A5A">
      <w:pPr>
        <w:spacing w:line="480" w:lineRule="auto"/>
        <w:rPr>
          <w:b/>
          <w:bCs/>
        </w:rPr>
      </w:pPr>
      <w:r w:rsidRPr="00DE0A5A">
        <w:rPr>
          <w:b/>
          <w:bCs/>
        </w:rPr>
        <w:t>Case Study 2: Relying on Production Telemetry for ATM Systems</w:t>
      </w:r>
    </w:p>
    <w:p w14:paraId="4FF6164F" w14:textId="1AD4A39C" w:rsidR="00DE0A5A" w:rsidRPr="00DE0A5A" w:rsidRDefault="00DE0A5A" w:rsidP="00DE0A5A">
      <w:pPr>
        <w:spacing w:line="480" w:lineRule="auto"/>
        <w:ind w:firstLine="720"/>
      </w:pPr>
      <w:r w:rsidRPr="00DE0A5A">
        <w:t>The second case study explores a major bank’s effort to monitor and manage thousands of ATMs using real-time production telemetry. The challenge was significant: ATMs are deployed across different regions and are used by customers 24/7. Failures or delays can erode customer trust and cause financial losses. Rather than relying solely on post-mortems or manual checks, the organization invested heavily in observability.</w:t>
      </w:r>
    </w:p>
    <w:p w14:paraId="2EC2A673" w14:textId="4B4F3F32" w:rsidR="00DE0A5A" w:rsidRPr="00DE0A5A" w:rsidRDefault="00DE0A5A" w:rsidP="00DE0A5A">
      <w:pPr>
        <w:spacing w:line="480" w:lineRule="auto"/>
        <w:ind w:firstLine="720"/>
      </w:pPr>
      <w:r w:rsidRPr="00DE0A5A">
        <w:t>They built a system that constantly collected data from ATMs, including performance metrics, hardware errors, and software anomalies. This telemetry was fed into dashboards and alerting systems so that teams could detect and address issues quickly</w:t>
      </w:r>
      <w:r>
        <w:t xml:space="preserve">, </w:t>
      </w:r>
      <w:r w:rsidRPr="00DE0A5A">
        <w:t>even before customers noticed them. They also used chaos engineering to test how ATMs would respond under failure scenarios, helping the team build more resilient systems over time.</w:t>
      </w:r>
    </w:p>
    <w:p w14:paraId="7C7843C5" w14:textId="77777777" w:rsidR="00DE0A5A" w:rsidRPr="00DE0A5A" w:rsidRDefault="00DE0A5A" w:rsidP="00DE0A5A">
      <w:pPr>
        <w:spacing w:line="480" w:lineRule="auto"/>
        <w:ind w:firstLine="720"/>
      </w:pPr>
      <w:r w:rsidRPr="00DE0A5A">
        <w:lastRenderedPageBreak/>
        <w:t>A major takeaway from this case is the importance of proactive monitoring in mission-critical systems. Relying on logs and manual reports isn't fast or scalable enough for systems that demand high availability. By treating telemetry as a core part of operations, the organization was able to move from a reactive to a preventative support model. This also empowered development teams with data to improve software quality continuously.</w:t>
      </w:r>
    </w:p>
    <w:p w14:paraId="2CCCCD09" w14:textId="77777777" w:rsidR="00DE0A5A" w:rsidRPr="00DE0A5A" w:rsidRDefault="00DE0A5A" w:rsidP="00DE0A5A">
      <w:pPr>
        <w:spacing w:line="480" w:lineRule="auto"/>
        <w:rPr>
          <w:b/>
          <w:bCs/>
        </w:rPr>
      </w:pPr>
      <w:r w:rsidRPr="00DE0A5A">
        <w:rPr>
          <w:b/>
          <w:bCs/>
        </w:rPr>
        <w:t>Conclusion</w:t>
      </w:r>
    </w:p>
    <w:p w14:paraId="47E29E79" w14:textId="7FF006A0" w:rsidR="00DE0A5A" w:rsidRDefault="00DE0A5A" w:rsidP="00DE0A5A">
      <w:pPr>
        <w:spacing w:line="480" w:lineRule="auto"/>
        <w:ind w:firstLine="720"/>
      </w:pPr>
      <w:r w:rsidRPr="00DE0A5A">
        <w:t xml:space="preserve">Both case studies from </w:t>
      </w:r>
      <w:r w:rsidRPr="00DE0A5A">
        <w:rPr>
          <w:i/>
          <w:iCs/>
        </w:rPr>
        <w:t>The DevOps Handbook</w:t>
      </w:r>
      <w:r w:rsidRPr="00DE0A5A">
        <w:t xml:space="preserve"> illustrate that DevOps is not limited to startups or tech giants</w:t>
      </w:r>
      <w:r>
        <w:t xml:space="preserve">, but that </w:t>
      </w:r>
      <w:r w:rsidRPr="00DE0A5A">
        <w:t>it can thrive in highly regulated or mission-critical environments. Whether the goal is to meet compliance standards or maintain reliable ATM networks, the principles of DevOps</w:t>
      </w:r>
      <w:r>
        <w:t xml:space="preserve"> (</w:t>
      </w:r>
      <w:r w:rsidRPr="00DE0A5A">
        <w:t>automation, visibility, collaboration, and rapid feedback</w:t>
      </w:r>
      <w:r>
        <w:t xml:space="preserve">) </w:t>
      </w:r>
      <w:r w:rsidRPr="00DE0A5A">
        <w:t>are universally valuable. These organizations didn’t abandon their requirements; they found smarter, more modern ways to meet them. The big lesson here is that by embedding quality and compliance into the development process and using real-time data to drive decisions, teams can deliver better software faster, even under strict constraints.</w:t>
      </w:r>
    </w:p>
    <w:p w14:paraId="22DB6883" w14:textId="7CC7DF2C" w:rsidR="00DE0A5A" w:rsidRDefault="00DE0A5A" w:rsidP="00DE0A5A">
      <w:pPr>
        <w:spacing w:line="480" w:lineRule="auto"/>
        <w:rPr>
          <w:b/>
          <w:bCs/>
        </w:rPr>
      </w:pPr>
      <w:r>
        <w:rPr>
          <w:b/>
          <w:bCs/>
        </w:rPr>
        <w:t>Sources</w:t>
      </w:r>
    </w:p>
    <w:p w14:paraId="43649169" w14:textId="051427AC" w:rsidR="00DE0A5A" w:rsidRPr="00DE0A5A" w:rsidRDefault="00DE0A5A" w:rsidP="00DE0A5A">
      <w:pPr>
        <w:spacing w:line="480" w:lineRule="auto"/>
      </w:pPr>
      <w:r w:rsidRPr="00DE0A5A">
        <w:t xml:space="preserve">Kim, Gene, et al. </w:t>
      </w:r>
      <w:r w:rsidRPr="00DE0A5A">
        <w:rPr>
          <w:i/>
          <w:iCs/>
        </w:rPr>
        <w:t>The DevOps Handbook: How to Create World-Class Agility, Reliability, &amp; Security in Technology Organizations</w:t>
      </w:r>
      <w:r w:rsidRPr="00DE0A5A">
        <w:t>. 2nd ed., IT Revolution Press, 2021. Chapter 23</w:t>
      </w:r>
    </w:p>
    <w:p w14:paraId="7CF645FF" w14:textId="77777777" w:rsidR="00F54793" w:rsidRDefault="00F54793" w:rsidP="00F54793"/>
    <w:p w14:paraId="0BDE375F" w14:textId="77777777" w:rsidR="00F54793" w:rsidRPr="00F54793" w:rsidRDefault="00F54793" w:rsidP="00F54793"/>
    <w:p w14:paraId="04EBA56A" w14:textId="77777777" w:rsidR="008416BF" w:rsidRDefault="008416BF"/>
    <w:sectPr w:rsidR="00841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66AE2"/>
    <w:multiLevelType w:val="multilevel"/>
    <w:tmpl w:val="7A44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7004F"/>
    <w:multiLevelType w:val="multilevel"/>
    <w:tmpl w:val="0FE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974">
    <w:abstractNumId w:val="0"/>
  </w:num>
  <w:num w:numId="2" w16cid:durableId="40114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93"/>
    <w:rsid w:val="000F73E7"/>
    <w:rsid w:val="00356380"/>
    <w:rsid w:val="004A36BD"/>
    <w:rsid w:val="008416BF"/>
    <w:rsid w:val="00B32805"/>
    <w:rsid w:val="00D30893"/>
    <w:rsid w:val="00DE0A5A"/>
    <w:rsid w:val="00F54793"/>
    <w:rsid w:val="00FB1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CD29"/>
  <w15:chartTrackingRefBased/>
  <w15:docId w15:val="{41584E54-4CF8-6849-B84D-F6E4D6FE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793"/>
    <w:rPr>
      <w:rFonts w:eastAsiaTheme="majorEastAsia" w:cstheme="majorBidi"/>
      <w:color w:val="272727" w:themeColor="text1" w:themeTint="D8"/>
    </w:rPr>
  </w:style>
  <w:style w:type="paragraph" w:styleId="Title">
    <w:name w:val="Title"/>
    <w:basedOn w:val="Normal"/>
    <w:next w:val="Normal"/>
    <w:link w:val="TitleChar"/>
    <w:uiPriority w:val="10"/>
    <w:qFormat/>
    <w:rsid w:val="00F54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793"/>
    <w:pPr>
      <w:spacing w:before="160"/>
      <w:jc w:val="center"/>
    </w:pPr>
    <w:rPr>
      <w:i/>
      <w:iCs/>
      <w:color w:val="404040" w:themeColor="text1" w:themeTint="BF"/>
    </w:rPr>
  </w:style>
  <w:style w:type="character" w:customStyle="1" w:styleId="QuoteChar">
    <w:name w:val="Quote Char"/>
    <w:basedOn w:val="DefaultParagraphFont"/>
    <w:link w:val="Quote"/>
    <w:uiPriority w:val="29"/>
    <w:rsid w:val="00F54793"/>
    <w:rPr>
      <w:i/>
      <w:iCs/>
      <w:color w:val="404040" w:themeColor="text1" w:themeTint="BF"/>
    </w:rPr>
  </w:style>
  <w:style w:type="paragraph" w:styleId="ListParagraph">
    <w:name w:val="List Paragraph"/>
    <w:basedOn w:val="Normal"/>
    <w:uiPriority w:val="34"/>
    <w:qFormat/>
    <w:rsid w:val="00F54793"/>
    <w:pPr>
      <w:ind w:left="720"/>
      <w:contextualSpacing/>
    </w:pPr>
  </w:style>
  <w:style w:type="character" w:styleId="IntenseEmphasis">
    <w:name w:val="Intense Emphasis"/>
    <w:basedOn w:val="DefaultParagraphFont"/>
    <w:uiPriority w:val="21"/>
    <w:qFormat/>
    <w:rsid w:val="00F54793"/>
    <w:rPr>
      <w:i/>
      <w:iCs/>
      <w:color w:val="0F4761" w:themeColor="accent1" w:themeShade="BF"/>
    </w:rPr>
  </w:style>
  <w:style w:type="paragraph" w:styleId="IntenseQuote">
    <w:name w:val="Intense Quote"/>
    <w:basedOn w:val="Normal"/>
    <w:next w:val="Normal"/>
    <w:link w:val="IntenseQuoteChar"/>
    <w:uiPriority w:val="30"/>
    <w:qFormat/>
    <w:rsid w:val="00F54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793"/>
    <w:rPr>
      <w:i/>
      <w:iCs/>
      <w:color w:val="0F4761" w:themeColor="accent1" w:themeShade="BF"/>
    </w:rPr>
  </w:style>
  <w:style w:type="character" w:styleId="IntenseReference">
    <w:name w:val="Intense Reference"/>
    <w:basedOn w:val="DefaultParagraphFont"/>
    <w:uiPriority w:val="32"/>
    <w:qFormat/>
    <w:rsid w:val="00F54793"/>
    <w:rPr>
      <w:b/>
      <w:bCs/>
      <w:smallCaps/>
      <w:color w:val="0F4761" w:themeColor="accent1" w:themeShade="BF"/>
      <w:spacing w:val="5"/>
    </w:rPr>
  </w:style>
  <w:style w:type="character" w:styleId="Hyperlink">
    <w:name w:val="Hyperlink"/>
    <w:basedOn w:val="DefaultParagraphFont"/>
    <w:uiPriority w:val="99"/>
    <w:unhideWhenUsed/>
    <w:rsid w:val="00F54793"/>
    <w:rPr>
      <w:color w:val="467886" w:themeColor="hyperlink"/>
      <w:u w:val="single"/>
    </w:rPr>
  </w:style>
  <w:style w:type="character" w:styleId="UnresolvedMention">
    <w:name w:val="Unresolved Mention"/>
    <w:basedOn w:val="DefaultParagraphFont"/>
    <w:uiPriority w:val="99"/>
    <w:semiHidden/>
    <w:unhideWhenUsed/>
    <w:rsid w:val="00F54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174">
      <w:bodyDiv w:val="1"/>
      <w:marLeft w:val="0"/>
      <w:marRight w:val="0"/>
      <w:marTop w:val="0"/>
      <w:marBottom w:val="0"/>
      <w:divBdr>
        <w:top w:val="none" w:sz="0" w:space="0" w:color="auto"/>
        <w:left w:val="none" w:sz="0" w:space="0" w:color="auto"/>
        <w:bottom w:val="none" w:sz="0" w:space="0" w:color="auto"/>
        <w:right w:val="none" w:sz="0" w:space="0" w:color="auto"/>
      </w:divBdr>
    </w:div>
    <w:div w:id="594440091">
      <w:bodyDiv w:val="1"/>
      <w:marLeft w:val="0"/>
      <w:marRight w:val="0"/>
      <w:marTop w:val="0"/>
      <w:marBottom w:val="0"/>
      <w:divBdr>
        <w:top w:val="none" w:sz="0" w:space="0" w:color="auto"/>
        <w:left w:val="none" w:sz="0" w:space="0" w:color="auto"/>
        <w:bottom w:val="none" w:sz="0" w:space="0" w:color="auto"/>
        <w:right w:val="none" w:sz="0" w:space="0" w:color="auto"/>
      </w:divBdr>
    </w:div>
    <w:div w:id="1703550736">
      <w:bodyDiv w:val="1"/>
      <w:marLeft w:val="0"/>
      <w:marRight w:val="0"/>
      <w:marTop w:val="0"/>
      <w:marBottom w:val="0"/>
      <w:divBdr>
        <w:top w:val="none" w:sz="0" w:space="0" w:color="auto"/>
        <w:left w:val="none" w:sz="0" w:space="0" w:color="auto"/>
        <w:bottom w:val="none" w:sz="0" w:space="0" w:color="auto"/>
        <w:right w:val="none" w:sz="0" w:space="0" w:color="auto"/>
      </w:divBdr>
    </w:div>
    <w:div w:id="175316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3885</TotalTime>
  <Pages>3</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Marquez, Adrian (anmarquez)</dc:creator>
  <cp:keywords/>
  <dc:description/>
  <cp:lastModifiedBy>Marquez, Adrian (anmarquez)</cp:lastModifiedBy>
  <cp:revision>1</cp:revision>
  <dcterms:created xsi:type="dcterms:W3CDTF">2025-07-25T03:32:00Z</dcterms:created>
  <dcterms:modified xsi:type="dcterms:W3CDTF">2025-07-27T20:22:00Z</dcterms:modified>
</cp:coreProperties>
</file>