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DryDock Product Requirements</w:t>
      </w:r>
    </w:p>
    <w:p>
      <w:pPr>
        <w:pStyle w:val="Subtitle"/>
      </w:pPr>
      <w:r>
        <w:t>Version 0.1  •  23 September 2026</w:t>
      </w:r>
    </w:p>
    <w:p>
      <w:r>
        <w:rPr>
          <w:i/>
        </w:rPr>
        <w:t>A controlled environment in which agentic workers operate.</w:t>
      </w:r>
    </w:p>
    <w:p>
      <w:r>
        <w:t>DryDock is a headless, provider/model-agnostic agent engineering execution environment with a TUI client. It accepts bounded task contracts, delegates work local-first, independently inspects the resulting changes, and escalates to a frontier worker when policy permits.</w:t>
      </w:r>
    </w:p>
    <w:p>
      <w:r>
        <w:t>The v0.1 proof is one complete loop: task → Ollama on Reactor → candidate patch → objective inspection → bounded frontier escalation when needed → human review. Deliver a reproducible evidence bundle and an isolated patch; applying or publishing that patch remains a human action.</w:t>
      </w:r>
    </w:p>
    <w:p>
      <w:pPr>
        <w:pStyle w:val="Heading2"/>
      </w:pPr>
      <w:r>
        <w:t>Problem statement</w:t>
      </w:r>
    </w:p>
    <w:p>
      <w:r>
        <w:t>Delegating engineering work to models creates a verification and control problem. A plausible response does not establish that the requested behavior works, that changes stayed within scope, or that execution respected resource and data boundaries. Manually coordinating local models, stronger fallback workers, tests, and review makes this loop hard to repeat and audit.</w:t>
      </w:r>
    </w:p>
    <w:p>
      <w:pPr>
        <w:pStyle w:val="Heading2"/>
      </w:pPr>
      <w:r>
        <w:t>Core principles</w:t>
      </w:r>
    </w:p>
    <w:p>
      <w:pPr>
        <w:pStyle w:val="ListBullet"/>
      </w:pPr>
      <w:r>
        <w:t>Workers are untrusted. Worker output, repository text, and tool requests cannot change the task contract or grant permissions.</w:t>
      </w:r>
    </w:p>
    <w:p>
      <w:pPr>
        <w:pStyle w:val="ListBullet"/>
      </w:pPr>
      <w:r>
        <w:t>Evidence is trusted. Trust means independently collected, attributable evidence within a defined verification boundary; passing checks do not prove universal correctness.</w:t>
      </w:r>
    </w:p>
    <w:p>
      <w:pPr>
        <w:pStyle w:val="ListBullet"/>
      </w:pPr>
      <w:r>
        <w:t>Humans authorize consequential actions. External disclosure, paid usage, and execution limits require explicit contract authorization; merge, push, deployment, and production changes remain outside v0.1.</w:t>
      </w:r>
    </w:p>
    <w:p>
      <w:pPr>
        <w:pStyle w:val="Heading2"/>
      </w:pPr>
      <w:r>
        <w:t>Goals and non goals</w:t>
      </w:r>
    </w:p>
    <w:p>
      <w:r>
        <w:t>Goals: finish a bounded change locally when possible; detect unsuccessful or out-of-scope work; escalate predictably; preserve evidence; operate unattended within prior authorization and finite budgets; support the same workflow through CLI and TUI.</w:t>
      </w:r>
    </w:p>
    <w:p>
      <w:r>
        <w:t>Non-goals: autonomous product planning, multi-agent collaboration, parallel task execution, learned routing, model training, a plugin marketplace, hosted multi-tenant service, GUI, automatic merge or release, production access, and general-purpose remote execution.</w:t>
      </w:r>
    </w:p>
    <w:p>
      <w:pPr>
        <w:pStyle w:val="Heading2"/>
      </w:pPr>
      <w:r>
        <w:t>Status and basis</w:t>
      </w:r>
    </w:p>
    <w:p>
      <w:r>
        <w:t>This is a proposed implementation baseline derived from the supplied brief and referenced conversation. No repository, Reactor configuration, model capability, provider integration, or performance has been verified. Requirements below describe intended behavior. Defaults are proposals and may be revised before implementation without implying existing support.</w:t>
      </w:r>
    </w:p>
    <w:p>
      <w:r>
        <w:br w:type="page"/>
      </w:r>
    </w:p>
    <w:p>
      <w:pPr>
        <w:pStyle w:val="Heading1"/>
      </w:pPr>
      <w:r>
        <w:t>1 Users and architecture boundaries</w:t>
      </w:r>
    </w:p>
    <w:tbl>
      <w:tblPr>
        <w:tblW w:type="auto" w:w="0"/>
        <w:tblLayout w:type="fixed"/>
        <w:tblLook w:firstColumn="1" w:firstRow="1" w:lastColumn="0" w:lastRow="0" w:noHBand="0" w:noVBand="1" w:val="04A0"/>
      </w:tblPr>
      <w:tblGrid>
        <w:gridCol w:w="1944"/>
        <w:gridCol w:w="3816"/>
        <w:gridCol w:w="4320"/>
      </w:tblGrid>
      <w:tr>
        <w:trPr>
          <w:cantSplit/>
          <w:tblHeader/>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Persona</w:t>
            </w:r>
          </w:p>
        </w:tc>
        <w:tc>
          <w:tcPr>
            <w:tcW w:type="dxa" w:w="38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Primary use case</w:t>
            </w:r>
          </w:p>
        </w:tc>
        <w:tc>
          <w:tcPr>
            <w:tcW w:type="dxa" w:w="43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Required outcome</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Maintainer and operator</w:t>
            </w:r>
          </w:p>
        </w:tc>
        <w:tc>
          <w:tcPr>
            <w:tcW w:type="dxa" w:w="38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Submit a small bug fix, test addition, or localized refactor with explicit checks.</w:t>
            </w:r>
          </w:p>
        </w:tc>
        <w:tc>
          <w:tcPr>
            <w:tcW w:type="dxa" w:w="43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 reviewable patch with a clear disposition and bounded resource use.</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Reviewer</w:t>
            </w:r>
          </w:p>
        </w:tc>
        <w:tc>
          <w:tcPr>
            <w:tcW w:type="dxa" w:w="38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Inspect why a task passed, failed, or escalated.</w:t>
            </w:r>
          </w:p>
        </w:tc>
        <w:tc>
          <w:tcPr>
            <w:tcW w:type="dxa" w:w="43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Trace each criterion to independently collected evidence and the exact candidate.</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Integration author</w:t>
            </w:r>
          </w:p>
        </w:tc>
        <w:tc>
          <w:tcPr>
            <w:tcW w:type="dxa" w:w="38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Add or replace a worker adapter.</w:t>
            </w:r>
          </w:p>
        </w:tc>
        <w:tc>
          <w:tcPr>
            <w:tcW w:type="dxa" w:w="43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Implement one protocol without changing inspection or authorization rules.</w:t>
            </w:r>
          </w:p>
        </w:tc>
      </w:tr>
    </w:tbl>
    <w:p>
      <w:pPr>
        <w:spacing w:after="0" w:before="0" w:line="60" w:lineRule="exact"/>
      </w:pPr>
      <w:r>
        <w:rPr>
          <w:sz w:val="6"/>
        </w:rPr>
      </w:r>
    </w:p>
    <w:p>
      <w:pPr>
        <w:pStyle w:val="Heading2"/>
      </w:pPr>
      <w:r>
        <w:t>Smallest supported deployment</w:t>
      </w:r>
    </w:p>
    <w:p>
      <w:r>
        <w:t>One operator, one execution host, one active task, one Git repository per task, and a durable local queue. The headless service owns task state. CLI and TUI use a versioned local API over an owner-restricted Unix socket. Closing a client must not stop execution. Remote access uses an operator-managed terminal session; a public API is deferred.</w:t>
      </w:r>
    </w:p>
    <w:p>
      <w:r>
        <w:t>Ollama on Reactor is the first inference target. Reactor is not assumed to be the execution host. A controller-side worker harness owns the model interaction loop and mediates tools in an isolated execution environment. Select one frontier adapter for the same harness before the escalation milestone. Provider credentials remain outside worker and test environments.</w:t>
      </w:r>
    </w:p>
    <w:tbl>
      <w:tblPr>
        <w:tblW w:type="auto" w:w="0"/>
        <w:tblLayout w:type="fixed"/>
        <w:tblLook w:firstColumn="1" w:firstRow="1" w:lastColumn="0" w:lastRow="0" w:noHBand="0" w:noVBand="1" w:val="04A0"/>
      </w:tblPr>
      <w:tblGrid>
        <w:gridCol w:w="2016"/>
        <w:gridCol w:w="4032"/>
        <w:gridCol w:w="4032"/>
      </w:tblGrid>
      <w:tr>
        <w:trPr>
          <w:cantSplit/>
          <w:tblHeader/>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Component</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Owns</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Does not own</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Intake and controller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Contract validation, queue, state transitions, policy and durable events.</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Task interpretation that silently changes scope.</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Router and adapters</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Capability matching, deterministic tier order, normalized model calls and usage.</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Acceptance decisions or new permissions.</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Execution broker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Sandbox lifecycle, approved tool operations and resource enforcement.</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Trust in model-supplied commands or paths.</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Inspector</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Fresh candidate materialization, required checks, policy checks and verdict.</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Model-based claims of correctness.</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Clients and storage</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Operator interaction; durable metadata and artifact references.</w:t>
            </w:r>
          </w:p>
        </w:tc>
        <w:tc>
          <w:tcPr>
            <w:tcW w:type="dxa" w:w="40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Worker-writable control state or secrets.</w:t>
            </w:r>
          </w:p>
        </w:tc>
      </w:tr>
    </w:tbl>
    <w:p>
      <w:pPr>
        <w:spacing w:after="0" w:before="0" w:line="60" w:lineRule="exact"/>
      </w:pPr>
      <w:r>
        <w:rPr>
          <w:sz w:val="6"/>
        </w:rPr>
      </w:r>
    </w:p>
    <w:p>
      <w:pPr>
        <w:pStyle w:val="Heading2"/>
      </w:pPr>
      <w:r>
        <w:t>Architectural constraints</w:t>
      </w:r>
    </w:p>
    <w:p>
      <w:r>
        <w:t>Keep the controller, router, harness, and inspector in one deployable service with explicit internal interfaces. Use a transactional embedded database for state and an owner-only artifact directory for bundles. Do not introduce a message bus or distributed scheduler. Pin the source revision and execution image; never edit the operator’s checkout. Provider neutrality means a stable adapter boundary, not support for every provider in v0.1.</w:t>
      </w:r>
    </w:p>
    <w:p>
      <w:r>
        <w:br w:type="page"/>
      </w:r>
    </w:p>
    <w:p>
      <w:pPr>
        <w:pStyle w:val="Heading1"/>
      </w:pPr>
      <w:r>
        <w:t>2 Task contract schema</w:t>
      </w:r>
    </w:p>
    <w:p>
      <w:r>
        <w:t>Accept versioned JSON or YAML validated against one schema. Reject unknown fields, missing required checks, unresolved revisions, invalid paths, unsupported capabilities, and budgets that cannot be enforced. The controller freezes the validated contract and stores its hash. Any scope or authorization change creates a new revision and invalidates prior acceptance.</w:t>
      </w:r>
    </w:p>
    <w:tbl>
      <w:tblPr>
        <w:tblW w:type="auto" w:w="0"/>
        <w:tblLayout w:type="fixed"/>
        <w:tblLook w:firstColumn="1" w:firstRow="1" w:lastColumn="0" w:lastRow="0" w:noHBand="0" w:noVBand="1" w:val="04A0"/>
      </w:tblPr>
      <w:tblGrid>
        <w:gridCol w:w="2160"/>
        <w:gridCol w:w="7920"/>
      </w:tblGrid>
      <w:tr>
        <w:trPr>
          <w:cantSplit/>
          <w:tblHeader/>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Field group</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Required shape and validation</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Identity</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schema_version, task_id, revision, title, objective. Stable IDs and nonempty objective; task IDs are unique.</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Repository</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repository_id, base_commit, allowed_paths[], forbidden_paths[]. Resolve a full immutable commit; paths are repository-relative. Deny traversal and symlink escapes; forbidden paths win.</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Deliverables</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artifact_types[] fixed to patch and summary in v0.1; max_changed_files and max_diff_bytes are positive integers.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Acceptance</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criteria[] with id, description, check_ids[]; checks[] with id, argv[], cwd, timeout_seconds, expected_exit_code and optional trusted assertion. Every criterion maps to a runnable check.</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Verification baseline</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verification_profile_id and digest. Pins check definitions, baseline expectations, test assets, dependencies and image; worker cannot rewrite them.</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Capabilities and risk</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required_capabilities[], risk_class fixed to low in v0.1. Operator declares the class; policy rejects unsupported or protected changes.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Routing</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local_worker_id, frontier_worker_id or null, max_local_attempts, max_frontier_attempts, escalation_enabled. IDs resolve to configured adapter/model versions.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Limits</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task_wall_seconds, attempt_wall_seconds, tool_calls_per_attempt, output_bytes, cpu_limit, memory_bytes, disk_bytes; provider token/output limits and frontier_spend_cap_usd.</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Authorization</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authorized_by, authorized_at, policy_revision, frontier_allowed, external_data_scope[], permitted_tools[], network_profile. Deny by default; secrets are never contract values.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Execution</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sandbox_profile_id, image_digest, environment_allowlist[], input_artifact_ids[]. Inputs are immutable and size-limited; arbitrary host mounts are forbidden.</w:t>
            </w:r>
          </w:p>
        </w:tc>
      </w:tr>
    </w:tbl>
    <w:p>
      <w:pPr>
        <w:spacing w:after="0" w:before="0" w:line="60" w:lineRule="exact"/>
      </w:pPr>
      <w:r>
        <w:rPr>
          <w:sz w:val="6"/>
        </w:rPr>
      </w:r>
    </w:p>
    <w:p>
      <w:pPr>
        <w:pStyle w:val="Heading2"/>
      </w:pPr>
      <w:r>
        <w:t>Example bounded task</w:t>
      </w:r>
    </w:p>
    <w:p>
      <w:r>
        <w:t>Objective: make parse_timeout reject negative values while preserving zero and positive values. Allow changes only to src/timeouts.py and tests/test_timeouts.py; at most two files and a 20 KB diff. Pin the base commit and Python verification image. Criterion C1 maps to a protected regression test; C2 maps to the baseline test suite. Run checks using argv arrays, never shell-interpolated contract text.</w:t>
      </w:r>
    </w:p>
    <w:p>
      <w:r>
        <w:t>Proposed defaults: two local attempts, one frontier attempt, ten minutes per attempt, thirty minutes total, and forty tool calls per attempt. Frontier escalation is disabled unless the operator supplies a positive spend cap and explicit data authorization. Hardware limits and provider token ceilings are required deployment settings, not guessed machine capacities.</w:t>
      </w:r>
    </w:p>
    <w:p>
      <w:r>
        <w:br w:type="page"/>
      </w:r>
    </w:p>
    <w:p>
      <w:pPr>
        <w:pStyle w:val="Heading1"/>
      </w:pPr>
      <w:r>
        <w:t>3 Worker protocol and routing</w:t>
      </w:r>
    </w:p>
    <w:p>
      <w:pPr>
        <w:pStyle w:val="Heading2"/>
      </w:pPr>
      <w:r>
        <w:t>Provider independent protocol</w:t>
      </w:r>
    </w:p>
    <w:p>
      <w:r>
        <w:t>Every message carries protocol_version, task_id, contract_revision, attempt_id, event_id, timestamp, and type. The controller issues a unique attempt lease. Duplicate events are idempotent; late results for closed leases cannot change task state. Envelopes, payload sizes, and referenced artifacts are validated before use.</w:t>
      </w:r>
    </w:p>
    <w:tbl>
      <w:tblPr>
        <w:tblW w:type="auto" w:w="0"/>
        <w:tblLayout w:type="fixed"/>
        <w:tblLook w:firstColumn="1" w:firstRow="1" w:lastColumn="0" w:lastRow="0" w:noHBand="0" w:noVBand="1" w:val="04A0"/>
      </w:tblPr>
      <w:tblGrid>
        <w:gridCol w:w="2016"/>
        <w:gridCol w:w="2232"/>
        <w:gridCol w:w="5832"/>
      </w:tblGrid>
      <w:tr>
        <w:trPr>
          <w:cantSplit/>
          <w:tblHeader/>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Direction</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Message</w:t>
            </w:r>
          </w:p>
        </w:tc>
        <w:tc>
          <w:tcPr>
            <w:tcW w:type="dxa" w:w="58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Contract</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Controller → worker</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StartAttempt</w:t>
            </w:r>
          </w:p>
        </w:tc>
        <w:tc>
          <w:tcPr>
            <w:tcW w:type="dxa" w:w="58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Immutable contract, permitted context, tool capabilities, remaining budgets and attempt lease.</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Worker → controller</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Progress or ToolRequest</w:t>
            </w:r>
          </w:p>
        </w:tc>
        <w:tc>
          <w:tcPr>
            <w:tcW w:type="dxa" w:w="58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Status or structured operation request with request_id. The broker authorizes and executes every operation.</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Controller → worker</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ToolResult or Cancel</w:t>
            </w:r>
          </w:p>
        </w:tc>
        <w:tc>
          <w:tcPr>
            <w:tcW w:type="dxa" w:w="58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Bounded result linked to request_id, or cancellation reason and deadline.</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Worker → controller</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Candidate or Failure</w:t>
            </w:r>
          </w:p>
        </w:tc>
        <w:tc>
          <w:tcPr>
            <w:tcW w:type="dxa" w:w="58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Patch artifact, base commit and summary; or typed failure such as unable_to_complete. Self-reported checks are advisory.</w:t>
            </w:r>
          </w:p>
        </w:tc>
      </w:tr>
      <w:tr>
        <w:trPr>
          <w:cantSplit/>
        </w:trPr>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Controller → worker</w:t>
            </w:r>
          </w:p>
        </w:tc>
        <w:tc>
          <w:tcPr>
            <w:tcW w:type="dxa" w:w="22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InspectionFeedback</w:t>
            </w:r>
          </w:p>
        </w:tc>
        <w:tc>
          <w:tcPr>
            <w:tcW w:type="dxa" w:w="583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Failed check IDs, sanitized diagnostics and remaining budget for an authorized retry.</w:t>
            </w:r>
          </w:p>
        </w:tc>
      </w:tr>
    </w:tbl>
    <w:p>
      <w:pPr>
        <w:spacing w:after="0" w:before="0" w:line="60" w:lineRule="exact"/>
      </w:pPr>
      <w:r>
        <w:rPr>
          <w:sz w:val="6"/>
        </w:rPr>
      </w:r>
    </w:p>
    <w:p>
      <w:pPr>
        <w:pStyle w:val="Heading2"/>
      </w:pPr>
      <w:r>
        <w:t>Lifecycle and recovery</w:t>
      </w:r>
    </w:p>
    <w:p>
      <w:r>
        <w:t>QUEUED → RUNNING → INSPECTING → AWAITING_REVIEW → ACCEPTED or REJECTED. RUNNING and INSPECTING may lead to another RUNNING attempt, BLOCKED, FAILED, or CANCELLED. BLOCKED means an explicit operator decision or environmental repair is needed. ACCEPTED records human acceptance of an unchanged bundle; it does not merge or release code.</w:t>
      </w:r>
    </w:p>
    <w:p>
      <w:r>
        <w:t>Persist transitions and attempt leases before dispatch. A controller restart marks interrupted attempts inconclusive, terminates or reaps their sandbox, and blocks the task for an explicit resume. Do not silently repeat a paid call or count an interrupted inspection as a pass. Client disconnects do not affect leases. Cancellation stops new calls, terminates subprocesses within ten seconds, and ignores late results; already incurred provider charges remain recorded.</w:t>
      </w:r>
    </w:p>
    <w:p>
      <w:pPr>
        <w:pStyle w:val="Heading2"/>
      </w:pPr>
      <w:r>
        <w:t>Deterministic routing and escalation</w:t>
      </w:r>
    </w:p>
    <w:p>
      <w:pPr>
        <w:pStyle w:val="ListBullet"/>
      </w:pPr>
      <w:r>
        <w:t>Start with the configured local worker when its declared capabilities match the contract and health checks pass. Log the selected adapter/model and policy reason; do not claim it is the cheapest capable model without measurement.</w:t>
      </w:r>
    </w:p>
    <w:p>
      <w:pPr>
        <w:pStyle w:val="ListBullet"/>
      </w:pPr>
      <w:r>
        <w:t>A failed acceptance check permits one local repair attempt by default. The repair begins from the prior candidate in a new sandbox. Stop local retries when their budget or count is exhausted.</w:t>
      </w:r>
    </w:p>
    <w:p>
      <w:pPr>
        <w:pStyle w:val="ListBullet"/>
      </w:pPr>
      <w:r>
        <w:t>Escalate for exhausted local verification failures, malformed output, or an explicit inability to complete. Local unavailability may use the authorized frontier fallback directly; otherwise block. Frontier gets the original contract, candidate patch and bounded inspector diagnostics, all restricted by external_data_scope.</w:t>
      </w:r>
    </w:p>
    <w:p>
      <w:pPr>
        <w:pStyle w:val="ListBullet"/>
      </w:pPr>
      <w:r>
        <w:t>Policy violations, suspected data leakage, invalid contracts and broken verification infrastructure block the task; a stronger worker must not bypass them. A baseline check failure blocks admission. Budget exhaustion ends the task as FAILED; cancellation never escalates.</w:t>
      </w:r>
    </w:p>
    <w:p>
      <w:pPr>
        <w:pStyle w:val="ListBullet"/>
      </w:pPr>
      <w:r>
        <w:t>A frontier attempt receives no broader permissions. It must pass the same inspection. After its single default attempt fails, stop as FAILED with evidence. If approval or funds are absent, BLOCKED records the required action without dispatching.</w:t>
      </w:r>
    </w:p>
    <w:p>
      <w:r>
        <w:br w:type="page"/>
      </w:r>
    </w:p>
    <w:p>
      <w:pPr>
        <w:pStyle w:val="Heading1"/>
      </w:pPr>
      <w:r>
        <w:t>4 Evidence inspection and security</w:t>
      </w:r>
    </w:p>
    <w:p>
      <w:pPr>
        <w:pStyle w:val="Heading2"/>
      </w:pPr>
      <w:r>
        <w:t>Independent inspection</w:t>
      </w:r>
    </w:p>
    <w:p>
      <w:r>
        <w:t>Before execution, run trusted baseline checks against the pinned base. The profile separates baseline health checks from new regression checks that are expected to fail on the base; record those expected failures without blocking admission. After every candidate, freeze and hash the patch, apply it to a clean checkout of that base, enforce path and diff limits, then run all required checks in a fresh sandbox. Inspection uses the resulting candidate digest and the pinned verification profile. A check timeout, missing output, or infrastructure error is inconclusive and can never pass.</w:t>
      </w:r>
    </w:p>
    <w:p>
      <w:r>
        <w:t>Protect acceptance tests and their configuration from worker writes. New worker-authored tests may supplement the suite but cannot replace required checks. Reject changes that disable checks or alter protected test inputs. For checks implemented partly inside the repository, use trusted external assertions or protected fixtures to reduce test tampering; remaining coverage limits must be stated in review.</w:t>
      </w:r>
    </w:p>
    <w:p>
      <w:r>
        <w:t>Only all required checks passing plus a clean scope/policy result creates AWAITING_REVIEW. Evidence is authoritative for observed check outcomes, not proof that a patch is correct in every environment. Human review evaluates the remaining semantic and coverage risks.</w:t>
      </w:r>
    </w:p>
    <w:p>
      <w:pPr>
        <w:pStyle w:val="Heading2"/>
      </w:pPr>
      <w:r>
        <w:t>Evidence bundle</w:t>
      </w:r>
    </w:p>
    <w:p>
      <w:r>
        <w:t>Store the contract and policy hashes; base and candidate digests; patch; adapter/model identity; harness and image versions; attempt lineage; tool audit records; check argv and sanitized environment; exit codes; timestamps and durations; bounded stdout/stderr; criterion-to-check verdicts; usage and cost provenance; and routing, denial, cancellation and approval events. Indicate truncation and missing provider metadata explicitly.</w:t>
      </w:r>
    </w:p>
    <w:p>
      <w:r>
        <w:t>Write artifacts through the controller to storage inaccessible to workers. Hash a manifest linking every artifact; verify it on read and before approval. Bind approval to contract revision, candidate digest and manifest digest. Any mismatch invalidates approval. This detects changes within the assumed host trust boundary; it does not defend against a compromised host administrator.</w:t>
      </w:r>
    </w:p>
    <w:p>
      <w:pPr>
        <w:pStyle w:val="Heading2"/>
      </w:pPr>
      <w:r>
        <w:t>Sandbox and authorization boundary</w:t>
      </w:r>
    </w:p>
    <w:p>
      <w:pPr>
        <w:pStyle w:val="ListBullet"/>
      </w:pPr>
      <w:r>
        <w:t>Run worker tools and verification processes as unprivileged jobs in an isolated runtime with no host home, credentials, container socket, device access, or production mounts. Enforce CPU, memory, disk, process, output and time limits. A Git worktree alone is not a security boundary.</w:t>
      </w:r>
    </w:p>
    <w:p>
      <w:pPr>
        <w:pStyle w:val="ListBullet"/>
      </w:pPr>
      <w:r>
        <w:t>Deny execution-sandbox network access by default. Only the controller adapter may contact configured inference endpoints. Use prebuilt, pinned dependencies for v0.1; dynamic package installation and arbitrary outbound network access are deferred.</w:t>
      </w:r>
    </w:p>
    <w:p>
      <w:pPr>
        <w:pStyle w:val="ListBullet"/>
      </w:pPr>
      <w:r>
        <w:t>Authorize broker operations against canonical paths, including symlinks, before access. Treat repository instructions and model text as data; neither may change tool grants, inspection policy or control-plane configuration.</w:t>
      </w:r>
    </w:p>
    <w:p>
      <w:pPr>
        <w:pStyle w:val="ListBullet"/>
      </w:pPr>
      <w:r>
        <w:t>Keep provider secrets in the controller’s credential facility; redact logs and limit context before submission. Redaction is best effort, so only operator-approved repositories and data scopes may reach a frontier endpoint. If the scope cannot be enforced, block escalation.</w:t>
      </w:r>
    </w:p>
    <w:p>
      <w:pPr>
        <w:pStyle w:val="ListBullet"/>
      </w:pPr>
      <w:r>
        <w:t>Require preflight proof that the selected sandbox enforces the contract on the supported host. Fail closed if required isolation is unavailable. The v0.1 threat model covers untrusted generated code on an operator-controlled host, not hostile administrators or kernel compromise.</w:t>
      </w:r>
    </w:p>
    <w:p>
      <w:r>
        <w:br w:type="page"/>
      </w:r>
    </w:p>
    <w:p>
      <w:pPr>
        <w:pStyle w:val="Heading1"/>
      </w:pPr>
      <w:r>
        <w:t>5 TUI and observability requirements</w:t>
      </w:r>
    </w:p>
    <w:p>
      <w:pPr>
        <w:pStyle w:val="Heading2"/>
      </w:pPr>
      <w:r>
        <w:t>TUI client</w:t>
      </w:r>
    </w:p>
    <w:p>
      <w:r>
        <w:t>The terminal client is an optional view of the headless service. All essential actions also exist as CLI operations with structured JSON output and documented exit codes. Task submission uses a contract file; a visual contract editor is deferred.</w:t>
      </w:r>
    </w:p>
    <w:tbl>
      <w:tblPr>
        <w:tblW w:type="auto" w:w="0"/>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View</w:t>
            </w:r>
          </w:p>
        </w:tc>
        <w:tc>
          <w:tcPr>
            <w:tcW w:type="dxa" w:w="82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Required content and actions</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Queue</w:t>
            </w:r>
          </w:p>
        </w:tc>
        <w:tc>
          <w:tcPr>
            <w:tcW w:type="dxa" w:w="82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Task ID, title, state, active worker, elapsed time, remaining budget and latest meaningful event. Submit, open, cancel and resume blocked work.</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Task detail</w:t>
            </w:r>
          </w:p>
        </w:tc>
        <w:tc>
          <w:tcPr>
            <w:tcW w:type="dxa" w:w="82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Objective, allowed scope, frozen contract, attempt timeline, routing reason, usage and current blockers. Show the next permitted action.</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Inspection</w:t>
            </w:r>
          </w:p>
        </w:tc>
        <w:tc>
          <w:tcPr>
            <w:tcW w:type="dxa" w:w="82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Criterion status, check output, base and candidate IDs, scope verdict and evidence links. Missing, inconclusive and failed evidence look distinct.</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Patch review</w:t>
            </w:r>
          </w:p>
        </w:tc>
        <w:tc>
          <w:tcPr>
            <w:tcW w:type="dxa" w:w="82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Scrollable diff with file list and change counts; show digest and verification freshness. Accept or reject the exact bundle with a recorded decision.</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Workers</w:t>
            </w:r>
          </w:p>
        </w:tc>
        <w:tc>
          <w:tcPr>
            <w:tcW w:type="dxa" w:w="820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Configured provider/model, local or frontier tier, capability declarations, availability and last error. Never display secret values.</w:t>
            </w:r>
          </w:p>
        </w:tc>
      </w:tr>
    </w:tbl>
    <w:p>
      <w:pPr>
        <w:spacing w:after="0" w:before="0" w:line="60" w:lineRule="exact"/>
      </w:pPr>
      <w:r>
        <w:rPr>
          <w:sz w:val="6"/>
        </w:rPr>
      </w:r>
    </w:p>
    <w:p>
      <w:r>
        <w:t>Support keyboard-only navigation, visible focus, searchable logs, scrolling, resize handling, and a monochrome mode. Render model and process output as inert text; strip unsafe terminal control sequences. At 100 × 30 characters, show the queue and task summary without clipping essential status; smaller terminals show a clear minimum-size message.</w:t>
      </w:r>
    </w:p>
    <w:p>
      <w:r>
        <w:t>Within two seconds of a committed service event under the single-task reference setup, update the visible state. Reconnect by event cursor and restore the selected task. Confirm cancellation and bundle acceptance explicitly. Permission expansion requires a new contract revision showing the exact change. Never infer approval from inactivity or a closed terminal.</w:t>
      </w:r>
    </w:p>
    <w:p>
      <w:pPr>
        <w:pStyle w:val="Heading2"/>
      </w:pPr>
      <w:r>
        <w:t>Operational visibility</w:t>
      </w:r>
    </w:p>
    <w:p>
      <w:r>
        <w:t>Emit structured, ordered events with task, attempt, check and correlation IDs; UTC timestamps; and monotonic durations. Persist transitions, model requests, denials, inspection and authorization events across restarts. Distinguish provider, infrastructure, verification and policy failures.</w:t>
      </w:r>
    </w:p>
    <w:tbl>
      <w:tblPr>
        <w:tblW w:type="auto" w:w="0"/>
        <w:tblLayout w:type="fixed"/>
        <w:tblLook w:firstColumn="1" w:firstRow="1" w:lastColumn="0" w:lastRow="0" w:noHBand="0" w:noVBand="1" w:val="04A0"/>
      </w:tblPr>
      <w:tblGrid>
        <w:gridCol w:w="2160"/>
        <w:gridCol w:w="7920"/>
      </w:tblGrid>
      <w:tr>
        <w:trPr>
          <w:cantSplit/>
          <w:tblHeader/>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Metric</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Definition and reporting rule</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Local completion</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Tasks reaching AWAITING_REVIEW without frontier use ÷ admitted tasks. Show counts and exclude validation rejects.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Escalation and quality</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Escalated/admitted tasks; first-attempt pass rate; human decisions and reasons.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Latency and resources</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Queue, attempt, check and total duration; tokens and limit breaches. Show raw samples.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Cost</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Frontier cost per task with estimate/report provenance. Report local resource use separately.</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Reliability and control</w:t>
            </w:r>
          </w:p>
        </w:tc>
        <w:tc>
          <w:tcPr>
            <w:tcW w:type="dxa" w:w="79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Errors, interruptions, blockers, denials, cancellations and orphan cleanup failures.</w:t>
            </w:r>
          </w:p>
        </w:tc>
      </w:tr>
    </w:tbl>
    <w:p>
      <w:pPr>
        <w:spacing w:after="0" w:before="0" w:line="60" w:lineRule="exact"/>
      </w:pPr>
      <w:r>
        <w:rPr>
          <w:sz w:val="6"/>
        </w:rPr>
      </w:r>
    </w:p>
    <w:p>
      <w:r>
        <w:t>Enforce frontier admission with an upper-bound reservation for each request, including output limits and any billable token categories. If the adapter cannot bound a charge, refuse dispatch. Report unknown usage as unknown, not zero. Default to thirty-day local retention with an explicit purge command; never purge active or awaiting-review bundles automatically.</w:t>
      </w:r>
    </w:p>
    <w:p>
      <w:r>
        <w:br w:type="page"/>
      </w:r>
    </w:p>
    <w:p>
      <w:pPr>
        <w:pStyle w:val="Heading1"/>
      </w:pPr>
      <w:r>
        <w:t>6 Acceptance criteria</w:t>
      </w:r>
    </w:p>
    <w:p>
      <w:r>
        <w:t>Release gates are observable system behavior, not a target model win rate. Use deterministic fake adapters for failure paths and separate live integration runs to demonstrate the real local and frontier adapters. Record the exact models, environment, task fixtures and evidence for every demonstration.</w:t>
      </w:r>
    </w:p>
    <w:tbl>
      <w:tblPr>
        <w:tblW w:type="auto" w:w="0"/>
        <w:tblLayout w:type="fixed"/>
        <w:tblLook w:firstColumn="1" w:firstRow="1" w:lastColumn="0" w:lastRow="0" w:noHBand="0" w:noVBand="1" w:val="04A0"/>
      </w:tblPr>
      <w:tblGrid>
        <w:gridCol w:w="936"/>
        <w:gridCol w:w="9144"/>
      </w:tblGrid>
      <w:tr>
        <w:trPr>
          <w:cantSplit/>
          <w:tblHeader/>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ID</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Release gate and required evidence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AC01</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Headless run: submit a valid task through CLI, close all clients, and confirm execution and inspection complete. Reattach the TUI and reconstruct the persisted timeline.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AC02</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Live local proof: at least one bounded fixture task completes via Ollama on Reactor, passes independent inspection, and produces a reviewable patch without a frontier call.</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AC03</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Live escalation proof: a controlled local failure triggers one authorized live frontier attempt; its candidate passes the unchanged checks. Record the forced condition so this is not presented as a natural model comparison.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AC04</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Honest verification: candidates with failing tests, missing evidence, timed-out checks, changed protected tests and out-of-scope files cannot reach AWAITING_REVIEW. A worker claim that tests passed has no effect.</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AC05</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Permission enforcement: absent frontier authorization prevents external calls. Tool and network denial tests verify the sandbox and broker; traversal and symlink escapes cannot access host fixtures or control state.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AC06</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Finite execution: retry counts, total/attempt time, tool calls, output and resource limits terminate work predictably. Frontier requests cannot exceed the configured reservation budget; unsupported cost bounds block dispatch.</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AC07</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Durability: restart during execution and inspection. No lost terminal verdict, duplicate acceptance or automatic paid redispatch occurs. Interrupted work is inconclusive; orphan cleanup precedes explicit resume.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AC08</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Cancellation: after cancellation is committed, no new tool/model request starts; local process trees terminate within ten seconds. A late provider response cannot reopen the task.</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AC09</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Evidence integrity: every criterion links to controller-collected check output for the exact candidate. Modifying a patch, contract or bundle makes the prior verdict/approval stale and prevents acceptance.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AC10</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Client parity: CLI and TUI can submit, inspect, cancel, resume and decide review. Keyboard-only review works at 100 × 30; status refresh and reconnection meet the requirements on page 6.</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AC11</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Provider boundary: swapping configured adapter/model requires no routing or inspector change. Both live adapters and a fake adapter obey protocol validation, cancellation and usage normalization.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AC12</w:t>
            </w:r>
          </w:p>
        </w:tc>
        <w:tc>
          <w:tcPr>
            <w:tcW w:type="dxa" w:w="91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Human gate: passing inspection alone never marks a task ACCEPTED. Human acceptance is attributable and digest-bound; neither acceptance nor any worker command pushes, merges or deploys.</w:t>
            </w:r>
          </w:p>
        </w:tc>
      </w:tr>
    </w:tbl>
    <w:p>
      <w:pPr>
        <w:spacing w:after="0" w:before="0" w:line="60" w:lineRule="exact"/>
      </w:pPr>
      <w:r>
        <w:rPr>
          <w:sz w:val="6"/>
        </w:rPr>
      </w:r>
    </w:p>
    <w:p>
      <w:pPr>
        <w:pStyle w:val="Heading2"/>
      </w:pPr>
      <w:r>
        <w:t>Evaluation fixtures</w:t>
      </w:r>
    </w:p>
    <w:p>
      <w:r>
        <w:t>Start with three small repositories or isolated fixtures: a localized bug fix, a missing regression test, and a behavior-preserving refactor. Pin each base and protected checks. Add deliberately bad candidates and fault injection for the negative gates. Report live successes and failures without claiming general local-model capability from this small sample.</w:t>
      </w:r>
    </w:p>
    <w:p>
      <w:r>
        <w:br w:type="page"/>
      </w:r>
    </w:p>
    <w:p>
      <w:pPr>
        <w:pStyle w:val="Heading1"/>
      </w:pPr>
      <w:r>
        <w:t>7 Delivery plan and unresolved decisions</w:t>
      </w:r>
    </w:p>
    <w:tbl>
      <w:tblPr>
        <w:tblW w:type="auto" w:w="0"/>
        <w:tblLayout w:type="fixed"/>
        <w:tblLook w:firstColumn="1" w:firstRow="1" w:lastColumn="0" w:lastRow="0" w:noHBand="0" w:noVBand="1" w:val="04A0"/>
      </w:tblPr>
      <w:tblGrid>
        <w:gridCol w:w="1584"/>
        <w:gridCol w:w="4752"/>
        <w:gridCol w:w="3744"/>
      </w:tblGrid>
      <w:tr>
        <w:trPr>
          <w:cantSplit/>
          <w:tblHeader/>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Milestone</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Smallest deliverable</w:t>
            </w:r>
          </w:p>
        </w:tc>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8EDF2"/>
          </w:tcPr>
          <w:p>
            <w:pPr>
              <w:spacing w:after="40" w:line="240" w:lineRule="auto"/>
            </w:pPr>
            <w:r>
              <w:rPr>
                <w:b/>
                <w:sz w:val="20"/>
              </w:rPr>
              <w:t>Exit condition</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M0  Bound the environment</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Choose one execution OS/runtime, local model, frontier adapter, verification image and fixture set.</w:t>
            </w:r>
          </w:p>
        </w:tc>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Isolation and connectivity preflight recorded; external data policy and enforceable budget selected.</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M1  Prove the control loop</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Contract validation, durable queue, sandbox broker, fake worker, inspector and CLI.</w:t>
            </w:r>
          </w:p>
        </w:tc>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Deterministic pass/fail, scope denial, evidence binding and restart paths work without live models.</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M2  Run locally</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Ollama adapter on Reactor and bounded harness with repair feedback.</w:t>
            </w:r>
          </w:p>
        </w:tc>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AC02 passes; unsuccessful work stops predictably with useful diagnostics.</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M3  Escalate under policy</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One frontier adapter, authorization checks, context filtering and budget reservation.</w:t>
            </w:r>
          </w:p>
        </w:tc>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AC03, AC05 and AC06 pass; both tiers use identical inspection.</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M4  Review and release v0.1</w:t>
            </w:r>
          </w:p>
        </w:tc>
        <w:tc>
          <w:tcPr>
            <w:tcW w:type="dxa" w:w="47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TUI, acceptance recording, operator quickstart and full release-gate run.</w:t>
            </w:r>
          </w:p>
        </w:tc>
        <w:tc>
          <w:tcPr>
            <w:tcW w:type="dxa" w:w="37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40" w:line="240" w:lineRule="auto"/>
            </w:pPr>
            <w:r>
              <w:rPr>
                <w:b w:val="0"/>
                <w:sz w:val="20"/>
              </w:rPr>
              <w:t>All acceptance gates pass and limitations are documented; install and demo are repeatable.</w:t>
            </w:r>
          </w:p>
        </w:tc>
      </w:tr>
    </w:tbl>
    <w:p>
      <w:pPr>
        <w:spacing w:after="0" w:before="0" w:line="60" w:lineRule="exact"/>
      </w:pPr>
      <w:r>
        <w:rPr>
          <w:sz w:val="6"/>
        </w:rPr>
      </w:r>
    </w:p>
    <w:p>
      <w:pPr>
        <w:pStyle w:val="Heading2"/>
      </w:pPr>
      <w:r>
        <w:t>Risks and open decisions</w:t>
      </w:r>
    </w:p>
    <w:p>
      <w:pPr>
        <w:pStyle w:val="ListBullet"/>
      </w:pPr>
      <w:r>
        <w:t>Reactor and model suitability: hardware, host OS, available models and network protection are unverified. Resolve at M0 with a small live task and isolation probe; do not expand scope to compensate for poor model results.</w:t>
      </w:r>
    </w:p>
    <w:p>
      <w:pPr>
        <w:pStyle w:val="ListBullet"/>
      </w:pPr>
      <w:r>
        <w:t>Sandbox choice: select one supported execution platform at M0. Containers or other runtimes must be evaluated against the boundary, not assumed sufficient. Broader operating-system support waits until after v0.1.</w:t>
      </w:r>
    </w:p>
    <w:p>
      <w:pPr>
        <w:pStyle w:val="ListBullet"/>
      </w:pPr>
      <w:r>
        <w:t>Verification blind spots: weak tests can accept incorrect changes. The operator owns acceptance quality; protect baseline checks, include adversarial candidates, and retain human review. Formal correctness is not promised.</w:t>
      </w:r>
    </w:p>
    <w:p>
      <w:pPr>
        <w:pStyle w:val="ListBullet"/>
      </w:pPr>
      <w:r>
        <w:t>Provider cost and cancellation: usage reporting and stop behavior vary by adapter. Choose an adapter with enforceable request bounds at M0; use conservative reservations and disclose estimates and in-flight charges.</w:t>
      </w:r>
    </w:p>
    <w:p>
      <w:pPr>
        <w:pStyle w:val="ListBullet"/>
      </w:pPr>
      <w:r>
        <w:t>Data exposure: model context and logs may contain sensitive repository data. Confirm the eligible repositories, Reactor transport/access controls and frontier disclosure policy before live runs. No automatic expansion of the approved scope.</w:t>
      </w:r>
    </w:p>
    <w:p>
      <w:pPr>
        <w:pStyle w:val="ListBullet"/>
      </w:pPr>
      <w:r>
        <w:t>Implementation stack: language, TUI library and database library remain open. Choose familiar tools at M0 and record the decision; the protocol and product boundaries should survive that choice. No framework comparison is required for the first vertical slice.</w:t>
      </w:r>
    </w:p>
    <w:p>
      <w:pPr>
        <w:pStyle w:val="Heading2"/>
      </w:pPr>
      <w:r>
        <w:t>Concise definition of done</w:t>
      </w:r>
    </w:p>
    <w:p>
      <w:r>
        <w:t>v0.1 is done when one documented installation can run a bounded engineering task headlessly through Ollama on Reactor, independently verify its exact patch, perform a policy-authorized live frontier escalation, and present reproducible evidence for explicit human acceptance through CLI or TUI. Every AC01–AC12 gate passes, failures remain bounded and inspectable, and the operator’s working checkout and external release systems remain untouched.</w:t>
      </w:r>
    </w:p>
    <w:p>
      <w:r>
        <w:t>Begin implementation with M0 and M1. Keep the acceptance fixture small enough that a developer can understand its objective, allowed changes and checks in one sitting. Add capability only when the end-to-end proof requires it.</w:t>
      </w:r>
    </w:p>
    <w:sectPr w:rsidR="00FC693F" w:rsidRPr="0006063C" w:rsidSect="00034616">
      <w:headerReference w:type="default" r:id="rId9"/>
      <w:footerReference w:type="default" r:id="rId10"/>
      <w:pgSz w:w="12240" w:h="15840"/>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Draft for implementation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DRYDOCK  /  PRODUCT REQUIREMENTS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DryDock Product Requirements v0.1</dc:title>
  <dc:subject>Headless agent engineering execution environment with a TUI client</dc:subject>
  <dc:creator>DryDock</dc:creator>
  <cp:keywords/>
  <dc:description>generated by python-docx</dc:description>
  <cp:lastModifiedBy/>
  <cp:revision>1</cp:revision>
  <dcterms:created xsi:type="dcterms:W3CDTF">2013-12-23T23:15:00Z</dcterms:created>
  <dcterms:modified xsi:type="dcterms:W3CDTF">2013-12-23T23:15:00Z</dcterms:modified>
  <cp:category/>
</cp:coreProperties>
</file>