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Procedimento de Pagamento a Fornecedores — Clínica Vida Plena</w:t>
      </w:r>
    </w:p>
    <w:p>
      <w:pPr>
        <w:pStyle w:val="Heading1"/>
      </w:pPr>
      <w:r>
        <w:t>1. Cadastro de fornecedor</w:t>
      </w:r>
    </w:p>
    <w:p>
      <w:r>
        <w:t>Todo novo fornecedor deve ser cadastrado no sistema financeiro com CNPJ, dados bancários e contrato ou proposta comercial assinada, antes da emissão da primeira nota fiscal.</w:t>
      </w:r>
    </w:p>
    <w:p>
      <w:pPr>
        <w:pStyle w:val="Heading1"/>
      </w:pPr>
      <w:r>
        <w:t>2. Fluxo de aprovação</w:t>
      </w:r>
    </w:p>
    <w:p>
      <w:r>
        <w:t>Notas fiscais de até R$ 2.000,00 são aprovadas diretamente pelo gestor do centro de custo. Valores acima disso exigem aprovação adicional da Diretoria Executiva.</w:t>
      </w:r>
    </w:p>
    <w:p>
      <w:r>
        <w:t>O prazo máximo entre o recebimento da nota fiscal e o início da análise financeira é de 3 dias úteis.</w:t>
      </w:r>
    </w:p>
    <w:p>
      <w:pPr>
        <w:pStyle w:val="Heading1"/>
      </w:pPr>
      <w:r>
        <w:t>3. Condições de pagamento</w:t>
      </w:r>
    </w:p>
    <w:p>
      <w:r>
        <w:t>O pagamento padrão a fornecedores ocorre em 28 dias após o recebimento e aprovação da nota fiscal, com remessas processadas toda quinta-feira.</w:t>
      </w:r>
    </w:p>
    <w:p>
      <w:pPr>
        <w:pStyle w:val="Heading1"/>
      </w:pPr>
      <w:r>
        <w:t>4. Centros de custo</w:t>
      </w:r>
    </w:p>
    <w:p>
      <w:r>
        <w:t>Cada despesa deve ser vinculada a um centro de custo válido (ver planilha de centros de custo mantida pelo Financeiro), para permitir o rateio correto nos relatórios gerenciais.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