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Política de Férias e Banco de Horas — Clínica Vida Plena</w:t>
      </w:r>
    </w:p>
    <w:p>
      <w:pPr>
        <w:pStyle w:val="Heading1"/>
      </w:pPr>
      <w:r>
        <w:t>1. Solicitação de férias</w:t>
      </w:r>
    </w:p>
    <w:p>
      <w:r>
        <w:t>As férias devem ser solicitadas com no mínimo 30 dias de antecedência através do sistema de RH, respeitando o período aquisitivo de 12 meses de trabalho.</w:t>
      </w:r>
    </w:p>
    <w:p>
      <w:r>
        <w:t>É vedado o fracionamento em mais de 3 períodos, sendo que um deles não pode ser inferior a 14 dias corridos, conforme legislação trabalhista vigente.</w:t>
      </w:r>
    </w:p>
    <w:p>
      <w:pPr>
        <w:pStyle w:val="Heading1"/>
      </w:pPr>
      <w:r>
        <w:t>2. Aprovação</w:t>
      </w:r>
    </w:p>
    <w:p>
      <w:r>
        <w:t>A liderança direta tem até 5 dias úteis para aprovar ou solicitar ajuste na data proposta, considerando a necessidade de cobertura mínima de plantão na unidade.</w:t>
      </w:r>
    </w:p>
    <w:p>
      <w:pPr>
        <w:pStyle w:val="Heading1"/>
      </w:pPr>
      <w:r>
        <w:t>3. Banco de horas</w:t>
      </w:r>
    </w:p>
    <w:p>
      <w:r>
        <w:t>Colaboradores da recepção e enfermagem que atuam em escala podem compensar horas extras via banco de horas, com saldo máximo acumulado de 40 horas.</w:t>
      </w:r>
    </w:p>
    <w:p>
      <w:r>
        <w:t>O saldo do banco de horas deve ser compensado em até 6 meses, sob pena de pagamento como hora extra no fechamento da folha seguinte.</w:t>
      </w:r>
    </w:p>
    <w:p>
      <w:pPr>
        <w:pStyle w:val="Heading1"/>
      </w:pPr>
      <w:r>
        <w:t>4. Plantões</w:t>
      </w:r>
    </w:p>
    <w:p>
      <w:r>
        <w:t>Plantões de fim de semana e feriado são remunerados com adicional de 50% sobre a hora normal, ou compensados em banco de horas mediante acordo individual registrado com o RH.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