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C304A"/>
          <w:sz w:val="56"/>
        </w:rPr>
        <w:t>ACUERDO DE FUNDADORES</w:t>
      </w:r>
    </w:p>
    <w:p>
      <w:pPr>
        <w:jc w:val="center"/>
      </w:pPr>
      <w:r>
        <w:rPr>
          <w:rFonts w:ascii="Aptos Display" w:hAnsi="Aptos Display"/>
          <w:b/>
          <w:color w:val="32587E"/>
          <w:sz w:val="40"/>
        </w:rPr>
        <w:t>FELIPEGIL360</w:t>
        <w:br/>
        <w:t>E INVERSIONES RACING 360 S.A.S.</w:t>
      </w:r>
    </w:p>
    <w:p>
      <w:pPr>
        <w:spacing w:before="360"/>
        <w:jc w:val="center"/>
      </w:pPr>
      <w:r>
        <w:rPr>
          <w:color w:val="5A5A5A"/>
          <w:sz w:val="24"/>
        </w:rPr>
        <w:t>Versión 36.0 — Ecosistema de Medios, Tecnología y Entretenimiento con protección de datos, confidencialidad y cierre financiero del Yacar</w:t>
      </w:r>
    </w:p>
    <w:p>
      <w:pPr>
        <w:spacing w:before="1100"/>
        <w:jc w:val="center"/>
      </w:pPr>
      <w:r>
        <w:rPr>
          <w:color w:val="5A5A5A"/>
          <w:sz w:val="20"/>
        </w:rPr>
        <w:t>Entre</w:t>
      </w:r>
    </w:p>
    <w:p>
      <w:pPr>
        <w:jc w:val="center"/>
      </w:pPr>
      <w:r>
        <w:rPr>
          <w:b/>
          <w:color w:val="1C304A"/>
          <w:sz w:val="26"/>
        </w:rPr>
        <w:t>ANDRÉS DAVID MEJÍA HERRERA</w:t>
      </w:r>
    </w:p>
    <w:p>
      <w:pPr>
        <w:jc w:val="center"/>
      </w:pPr>
      <w:r>
        <w:rPr>
          <w:b/>
          <w:color w:val="1C304A"/>
          <w:sz w:val="26"/>
        </w:rPr>
        <w:t>LUIS FELIPE GIL BETANCUR</w:t>
      </w:r>
    </w:p>
    <w:p>
      <w:pPr>
        <w:spacing w:before="900"/>
        <w:jc w:val="center"/>
      </w:pPr>
      <w:r>
        <w:rPr>
          <w:sz w:val="22"/>
        </w:rPr>
        <w:t>Ciudad: ______________________________</w:t>
        <w:br/>
        <w:t>Fecha: ______________________________</w:t>
      </w:r>
    </w:p>
    <w:p>
      <w:r>
        <w:br w:type="page"/>
      </w:r>
    </w:p>
    <w:p>
      <w:pPr>
        <w:pStyle w:val="Heading1"/>
      </w:pPr>
      <w:r>
        <w:t>PRESENTACIÓN Y CRITERIO DE SIMPLIFICACIÓN</w:t>
      </w:r>
    </w:p>
    <w:p>
      <w:r>
        <w:t>Este documento reúne en un solo instrumento las reglas esenciales de la relación empresarial histórica desarrollada bajo FELIPEGIL360 y el compromiso de constituir INVERSIONES RACING 360 S.A.S. Se eliminan repeticiones y se remite directamente a las normas colombianas cuando estas ya regulan la fuerza obligatoria, la buena fe, la interpretación, la responsabilidad, la sociedad por acciones simplificada y la solución de controversias.</w:t>
      </w:r>
    </w:p>
    <w:p>
      <w:r>
        <w:t>Los comprobantes, mensajes, contratos de patrocinio, métricas, archivos audiovisuales, inventarios y demás evidencias se conservarán en una Carpeta de Evidencias. No necesitan imprimirse ni autenticarse junto con este acuerdo para poder servir como prueba.</w:t>
      </w:r>
    </w:p>
    <w:p>
      <w:pPr>
        <w:pStyle w:val="Heading1"/>
      </w:pPr>
      <w:r>
        <w:t>BASE LEGAL COLOMBIANA</w:t>
      </w:r>
    </w:p>
    <w:tbl>
      <w:tblPr>
        <w:tblStyle w:val="TableGrid"/>
        <w:tblW w:type="auto" w:w="0"/>
        <w:jc w:val="center"/>
        <w:tblLook w:firstColumn="1" w:firstRow="1" w:lastColumn="0" w:lastRow="0" w:noHBand="0" w:noVBand="1" w:val="04A0"/>
      </w:tblPr>
      <w:tblGrid>
        <w:gridCol w:w="4896"/>
        <w:gridCol w:w="4896"/>
      </w:tblGrid>
      <w:tr>
        <w:tc>
          <w:tcPr>
            <w:tcW w:type="dxa" w:w="2880"/>
            <w:shd w:fill="1C304A"/>
            <w:vAlign w:val="center"/>
          </w:tcPr>
          <w:p>
            <w:pPr>
              <w:spacing w:after="0"/>
            </w:pPr>
            <w:r/>
            <w:r>
              <w:rPr>
                <w:rFonts w:ascii="Aptos" w:hAnsi="Aptos"/>
                <w:b/>
                <w:color w:val="FFFFFF"/>
                <w:sz w:val="17"/>
              </w:rPr>
              <w:t>Materia</w:t>
            </w:r>
          </w:p>
        </w:tc>
        <w:tc>
          <w:tcPr>
            <w:tcW w:type="dxa" w:w="6912"/>
            <w:shd w:fill="1C304A"/>
            <w:vAlign w:val="center"/>
          </w:tcPr>
          <w:p>
            <w:pPr>
              <w:spacing w:after="0"/>
            </w:pPr>
            <w:r/>
            <w:r>
              <w:rPr>
                <w:rFonts w:ascii="Aptos" w:hAnsi="Aptos"/>
                <w:b/>
                <w:color w:val="FFFFFF"/>
                <w:sz w:val="17"/>
              </w:rPr>
              <w:t>Norma aplicada directamente</w:t>
            </w:r>
          </w:p>
        </w:tc>
      </w:tr>
      <w:tr>
        <w:tc>
          <w:tcPr>
            <w:tcW w:type="dxa" w:w="2880"/>
            <w:vAlign w:val="center"/>
          </w:tcPr>
          <w:p>
            <w:pPr>
              <w:spacing w:after="0"/>
            </w:pPr>
            <w:r/>
            <w:r>
              <w:rPr>
                <w:rFonts w:ascii="Aptos" w:hAnsi="Aptos"/>
                <w:b w:val="0"/>
                <w:sz w:val="17"/>
              </w:rPr>
              <w:t>Fuerza obligatoria del contrato</w:t>
            </w:r>
          </w:p>
        </w:tc>
        <w:tc>
          <w:tcPr>
            <w:tcW w:type="dxa" w:w="6912"/>
            <w:vAlign w:val="center"/>
          </w:tcPr>
          <w:p>
            <w:pPr>
              <w:spacing w:after="0"/>
            </w:pPr>
            <w:r/>
            <w:r>
              <w:rPr>
                <w:rFonts w:ascii="Aptos" w:hAnsi="Aptos"/>
                <w:b w:val="0"/>
                <w:sz w:val="17"/>
              </w:rPr>
              <w:t>Artículos 1602 y 1603 del Código Civil: lo pactado obliga y debe ejecutarse de buena fe.</w:t>
            </w:r>
          </w:p>
        </w:tc>
      </w:tr>
      <w:tr>
        <w:tc>
          <w:tcPr>
            <w:tcW w:type="dxa" w:w="2880"/>
            <w:vAlign w:val="center"/>
            <w:shd w:fill="F5F7FA"/>
          </w:tcPr>
          <w:p>
            <w:pPr>
              <w:spacing w:after="0"/>
            </w:pPr>
            <w:r/>
            <w:r>
              <w:rPr>
                <w:rFonts w:ascii="Aptos" w:hAnsi="Aptos"/>
                <w:b w:val="0"/>
                <w:sz w:val="17"/>
              </w:rPr>
              <w:t>Buena fe comercial</w:t>
            </w:r>
          </w:p>
        </w:tc>
        <w:tc>
          <w:tcPr>
            <w:tcW w:type="dxa" w:w="6912"/>
            <w:vAlign w:val="center"/>
            <w:shd w:fill="F5F7FA"/>
          </w:tcPr>
          <w:p>
            <w:pPr>
              <w:spacing w:after="0"/>
            </w:pPr>
            <w:r/>
            <w:r>
              <w:rPr>
                <w:rFonts w:ascii="Aptos" w:hAnsi="Aptos"/>
                <w:b w:val="0"/>
                <w:sz w:val="17"/>
              </w:rPr>
              <w:t>Artículo 871 del Código de Comercio: el contrato obliga también a lo que corresponde a su naturaleza, ley, costumbre y equidad.</w:t>
            </w:r>
          </w:p>
        </w:tc>
      </w:tr>
      <w:tr>
        <w:tc>
          <w:tcPr>
            <w:tcW w:type="dxa" w:w="2880"/>
            <w:vAlign w:val="center"/>
          </w:tcPr>
          <w:p>
            <w:pPr>
              <w:spacing w:after="0"/>
            </w:pPr>
            <w:r/>
            <w:r>
              <w:rPr>
                <w:rFonts w:ascii="Aptos" w:hAnsi="Aptos"/>
                <w:b w:val="0"/>
                <w:sz w:val="17"/>
              </w:rPr>
              <w:t>Autonomía privada</w:t>
            </w:r>
          </w:p>
        </w:tc>
        <w:tc>
          <w:tcPr>
            <w:tcW w:type="dxa" w:w="6912"/>
            <w:vAlign w:val="center"/>
          </w:tcPr>
          <w:p>
            <w:pPr>
              <w:spacing w:after="0"/>
            </w:pPr>
            <w:r/>
            <w:r>
              <w:rPr>
                <w:rFonts w:ascii="Aptos" w:hAnsi="Aptos"/>
                <w:b w:val="0"/>
                <w:sz w:val="17"/>
              </w:rPr>
              <w:t>La jurisprudencia constitucional reconoce libertad para configurar contratos, dentro del orden público, la buena fe y la prohibición de abuso.</w:t>
            </w:r>
          </w:p>
        </w:tc>
      </w:tr>
      <w:tr>
        <w:tc>
          <w:tcPr>
            <w:tcW w:type="dxa" w:w="2880"/>
            <w:vAlign w:val="center"/>
            <w:shd w:fill="F5F7FA"/>
          </w:tcPr>
          <w:p>
            <w:pPr>
              <w:spacing w:after="0"/>
            </w:pPr>
            <w:r/>
            <w:r>
              <w:rPr>
                <w:rFonts w:ascii="Aptos" w:hAnsi="Aptos"/>
                <w:b w:val="0"/>
                <w:sz w:val="17"/>
              </w:rPr>
              <w:t>Constitución de la SAS</w:t>
            </w:r>
          </w:p>
        </w:tc>
        <w:tc>
          <w:tcPr>
            <w:tcW w:type="dxa" w:w="6912"/>
            <w:vAlign w:val="center"/>
            <w:shd w:fill="F5F7FA"/>
          </w:tcPr>
          <w:p>
            <w:pPr>
              <w:spacing w:after="0"/>
            </w:pPr>
            <w:r/>
            <w:r>
              <w:rPr>
                <w:rFonts w:ascii="Aptos" w:hAnsi="Aptos"/>
                <w:b w:val="0"/>
                <w:sz w:val="17"/>
              </w:rPr>
              <w:t>Ley 1258 de 2008, especialmente artículos 1, 2, 5 y 17.</w:t>
            </w:r>
          </w:p>
        </w:tc>
      </w:tr>
      <w:tr>
        <w:tc>
          <w:tcPr>
            <w:tcW w:type="dxa" w:w="2880"/>
            <w:vAlign w:val="center"/>
          </w:tcPr>
          <w:p>
            <w:pPr>
              <w:spacing w:after="0"/>
            </w:pPr>
            <w:r/>
            <w:r>
              <w:rPr>
                <w:rFonts w:ascii="Aptos" w:hAnsi="Aptos"/>
                <w:b w:val="0"/>
                <w:sz w:val="17"/>
              </w:rPr>
              <w:t>Acuerdos de accionistas</w:t>
            </w:r>
          </w:p>
        </w:tc>
        <w:tc>
          <w:tcPr>
            <w:tcW w:type="dxa" w:w="6912"/>
            <w:vAlign w:val="center"/>
          </w:tcPr>
          <w:p>
            <w:r>
              <w:t>Artículo 24 de la Ley 1258 de 2008: acuerdos por hasta 10 años, renovables unánimemente por periodos de hasta 10 años.</w:t>
            </w:r>
          </w:p>
        </w:tc>
      </w:tr>
      <w:tr>
        <w:tc>
          <w:tcPr>
            <w:tcW w:type="dxa" w:w="2880"/>
            <w:vAlign w:val="center"/>
            <w:shd w:fill="F5F7FA"/>
          </w:tcPr>
          <w:p>
            <w:pPr>
              <w:spacing w:after="0"/>
            </w:pPr>
            <w:r/>
            <w:r>
              <w:rPr>
                <w:rFonts w:ascii="Aptos" w:hAnsi="Aptos"/>
                <w:b w:val="0"/>
                <w:sz w:val="17"/>
              </w:rPr>
              <w:t>Exclusión y conflictos societarios</w:t>
            </w:r>
          </w:p>
        </w:tc>
        <w:tc>
          <w:tcPr>
            <w:tcW w:type="dxa" w:w="6912"/>
            <w:vAlign w:val="center"/>
            <w:shd w:fill="F5F7FA"/>
          </w:tcPr>
          <w:p>
            <w:pPr>
              <w:spacing w:after="0"/>
            </w:pPr>
            <w:r/>
            <w:r>
              <w:rPr>
                <w:rFonts w:ascii="Aptos" w:hAnsi="Aptos"/>
                <w:b w:val="0"/>
                <w:sz w:val="17"/>
              </w:rPr>
              <w:t>Artículos 39, 40 y 41 de la Ley 1258 de 2008.</w:t>
            </w:r>
          </w:p>
        </w:tc>
      </w:tr>
      <w:tr>
        <w:tc>
          <w:tcPr>
            <w:tcW w:type="dxa" w:w="2880"/>
            <w:vAlign w:val="center"/>
          </w:tcPr>
          <w:p>
            <w:pPr>
              <w:spacing w:after="0"/>
            </w:pPr>
            <w:r/>
            <w:r>
              <w:rPr>
                <w:rFonts w:ascii="Aptos" w:hAnsi="Aptos"/>
                <w:b w:val="0"/>
                <w:sz w:val="17"/>
              </w:rPr>
              <w:t>Fraude o perjuicio a terceros</w:t>
            </w:r>
          </w:p>
        </w:tc>
        <w:tc>
          <w:tcPr>
            <w:tcW w:type="dxa" w:w="6912"/>
            <w:vAlign w:val="center"/>
          </w:tcPr>
          <w:p>
            <w:pPr>
              <w:spacing w:after="0"/>
            </w:pPr>
            <w:r/>
            <w:r>
              <w:rPr>
                <w:rFonts w:ascii="Aptos" w:hAnsi="Aptos"/>
                <w:b w:val="0"/>
                <w:sz w:val="17"/>
              </w:rPr>
              <w:t>Artículo 42 de la Ley 1258 de 2008.</w:t>
            </w:r>
          </w:p>
        </w:tc>
      </w:tr>
      <w:tr>
        <w:tc>
          <w:tcPr>
            <w:tcW w:type="dxa" w:w="2880"/>
            <w:vAlign w:val="center"/>
            <w:shd w:fill="F5F7FA"/>
          </w:tcPr>
          <w:p>
            <w:pPr>
              <w:spacing w:after="0"/>
            </w:pPr>
            <w:r/>
            <w:r>
              <w:rPr>
                <w:rFonts w:ascii="Aptos" w:hAnsi="Aptos"/>
                <w:b w:val="0"/>
                <w:sz w:val="17"/>
              </w:rPr>
              <w:t>Firma y mensajes de datos</w:t>
            </w:r>
          </w:p>
        </w:tc>
        <w:tc>
          <w:tcPr>
            <w:tcW w:type="dxa" w:w="6912"/>
            <w:vAlign w:val="center"/>
            <w:shd w:fill="F5F7FA"/>
          </w:tcPr>
          <w:p>
            <w:pPr>
              <w:spacing w:after="0"/>
            </w:pPr>
            <w:r/>
            <w:r>
              <w:rPr>
                <w:rFonts w:ascii="Aptos" w:hAnsi="Aptos"/>
                <w:b w:val="0"/>
                <w:sz w:val="17"/>
              </w:rPr>
              <w:t>Ley 527 de 1999 y reglas aplicables a mensajes de datos y firma electrónica.</w:t>
            </w:r>
          </w:p>
        </w:tc>
      </w:tr>
    </w:tbl>
    <w:p/>
    <w:p>
      <w:pPr>
        <w:pStyle w:val="SmallNote"/>
      </w:pPr>
      <w:r>
        <w:t>Referencias normativas incluidas para simplificar la redacción. La firma de este documento no sustituye la constitución e inscripción de la SAS ante la Cámara de Comercio.</w:t>
      </w:r>
    </w:p>
    <w:p>
      <w:pPr>
        <w:pStyle w:val="Heading1"/>
      </w:pPr>
      <w:r>
        <w:t>TÍTULO I — PARTES, ORIGEN Y PRINCIPIOS</w:t>
      </w:r>
    </w:p>
    <w:p>
      <w:pPr>
        <w:pStyle w:val="Clause"/>
      </w:pPr>
      <w:r>
        <w:t>CLÁUSULA 1. PARTES</w:t>
      </w:r>
    </w:p>
    <w:p>
      <w:pPr>
        <w:keepLines w:val="0"/>
      </w:pPr>
      <w:r>
        <w:t>ANDRÉS DAVID MEJÍA HERRERA, mayor de edad, identificado con cédula de ciudadanía No. 1035425065 expedida en Copacabana, denominado ANDRÉS.</w:t>
      </w:r>
    </w:p>
    <w:p>
      <w:pPr>
        <w:keepLines w:val="0"/>
      </w:pPr>
      <w:r>
        <w:t>LUIS FELIPE GIL BETANCUR, mayor de edad, identificado con cédula de ciudadanía No. 1026152827 expedida en Itagüí, denominado FELIPE.</w:t>
      </w:r>
    </w:p>
    <w:p>
      <w:pPr>
        <w:keepLines w:val="0"/>
      </w:pPr>
      <w:r>
        <w:t>Ambos celebran el presente Acuerdo de Fundadores para regular FELIPEGIL360 y su transición a INVERSIONES RACING 360 S.A.S.</w:t>
      </w:r>
    </w:p>
    <w:p>
      <w:pPr>
        <w:pStyle w:val="Clause"/>
      </w:pPr>
      <w:r>
        <w:t>CLÁUSULA 2. ORIGEN DEL PROYECTO</w:t>
      </w:r>
    </w:p>
    <w:p>
      <w:pPr>
        <w:keepLines w:val="0"/>
      </w:pPr>
      <w:r>
        <w:t>Las partes reconocen que FELIPEGIL360 comenzó el 1 de junio de 2022 como una iniciativa conjunta propuesta y estructurada por Andrés alrededor de las capacidades técnicas, deportivas, pedagógicas y comunicativas de Felipe.</w:t>
      </w:r>
    </w:p>
    <w:p>
      <w:pPr>
        <w:keepLines w:val="0"/>
      </w:pPr>
      <w:r>
        <w:t>Felipe ya tenía conocimientos, trayectoria, contactos y presencia digital previa mediante cuentas personales. Andrés aportó estrategia, dirección, tecnología, producción audiovisual, administración, análisis, relacionamiento comercial, financiación, activos y exposición patrimonial.</w:t>
      </w:r>
    </w:p>
    <w:p>
      <w:pPr>
        <w:keepLines w:val="0"/>
      </w:pPr>
      <w:r>
        <w:t>El valor concreto de FELIPEGIL360 surgió de la combinación de ambos. Felipe no es únicamente imagen o conocimiento técnico, y Andrés no es únicamente dinero.</w:t>
      </w:r>
    </w:p>
    <w:p>
      <w:pPr>
        <w:pStyle w:val="Clause"/>
      </w:pPr>
      <w:r>
        <w:t>CLÁUSULA 3. PRINCIPIOS DE LA RELACIÓN</w:t>
      </w:r>
    </w:p>
    <w:p>
      <w:pPr>
        <w:pStyle w:val="ListBullet"/>
        <w:spacing w:after="40"/>
        <w:ind w:left="317" w:hanging="173"/>
      </w:pPr>
      <w:r>
        <w:t>Honestidad, lealtad, transparencia, cooperación y respeto.</w:t>
      </w:r>
    </w:p>
    <w:p>
      <w:pPr>
        <w:pStyle w:val="ListBullet"/>
        <w:spacing w:after="40"/>
        <w:ind w:left="317" w:hanging="173"/>
      </w:pPr>
      <w:r>
        <w:t>Creación conjunta de valor y búsqueda razonable del éxito empresarial.</w:t>
      </w:r>
    </w:p>
    <w:p>
      <w:pPr>
        <w:pStyle w:val="ListBullet"/>
        <w:spacing w:after="40"/>
        <w:ind w:left="317" w:hanging="173"/>
      </w:pPr>
      <w:r>
        <w:t>Protección de inversiones, trabajo, activos, reputación y derechos personales.</w:t>
      </w:r>
    </w:p>
    <w:p>
      <w:pPr>
        <w:pStyle w:val="ListBullet"/>
        <w:spacing w:after="40"/>
        <w:ind w:left="317" w:hanging="173"/>
      </w:pPr>
      <w:r>
        <w:t>Ausencia de apropiación unilateral, ocultamiento, abuso o desviación.</w:t>
      </w:r>
    </w:p>
    <w:p>
      <w:pPr>
        <w:pStyle w:val="ListBullet"/>
        <w:spacing w:after="40"/>
        <w:ind w:left="317" w:hanging="173"/>
      </w:pPr>
      <w:r>
        <w:t>Responsabilidad proporcional al daño probado.</w:t>
      </w:r>
    </w:p>
    <w:p>
      <w:pPr>
        <w:pStyle w:val="ListBullet"/>
        <w:spacing w:after="40"/>
        <w:ind w:left="317" w:hanging="173"/>
      </w:pPr>
      <w:r>
        <w:t>Ninguna parte garantiza el éxito económico ni queda obligada a financiar indefinidamente.</w:t>
      </w:r>
    </w:p>
    <w:p>
      <w:pPr/>
      <w:r>
        <w:t>Vocación de largo plazo. Las partes reconocen que el Proyecto nació de una relación personal de amistad y confianza profunda, pero acuerdan proteger esa relación mediante reglas empresariales claras, permanentes y verificables. Su propósito común es construir valor durante varias etapas, no obtener ventajas de corto plazo ni utilizar la amistad para evitar responsabilidades.</w:t>
      </w:r>
    </w:p>
    <w:p>
      <w:pPr>
        <w:pStyle w:val="Clause"/>
      </w:pPr>
      <w:r>
        <w:t>CLÁUSULA 3A. RECONOCIMIENTO DE LA OPORTUNIDAD EMPRESARIAL HABILITANTE</w:t>
      </w:r>
    </w:p>
    <w:p>
      <w:pPr/>
      <w:r>
        <w:t>Felipe reconoce que, antes de FELIPEGIL360, poseía capacidades, trayectoria, conocimientos, relaciones e identidad propias, pero no existía la estructura empresarial conjunta que posteriormente integró financiación, activos, producción audiovisual, tecnología, estrategia, administración, analítica, negociación comercial y exposición patrimonial.</w:t>
      </w:r>
    </w:p>
    <w:p>
      <w:pPr/>
      <w:r>
        <w:t>Las partes reconocen que los resultados obtenidos y la posibilidad de escalamiento comercial surgieron de la combinación de esos aportes. Ninguna parte afirma que la otra carecía de valor o que el éxito futuro estuviera garantizado. El reconocimiento consiste en que la oportunidad empresarial concreta desarrollada bajo FELIPEGIL360 no existía en esa misma forma, escala y organización antes de la colaboración.</w:t>
      </w:r>
    </w:p>
    <w:p>
      <w:pPr/>
      <w:r>
        <w:t>Felipe acepta que la dirección estratégica, la inversión, el trabajo y el riesgo asumidos por Andrés fueron factores materiales y habilitantes para construir el ecosistema. Andrés reconoce que la imagen, conocimientos, ejecución técnica y capacidad pública de Felipe fueron igualmente necesarias. Los porcentajes, prioridades de recuperación y mecanismos de valor futuro reflejan esta interdependencia y no la superioridad personal de uno sobre el otro.</w:t>
      </w:r>
    </w:p>
    <w:p>
      <w:pPr>
        <w:pStyle w:val="Clause"/>
      </w:pPr>
      <w:r>
        <w:t>CLÁUSULA 3B. PROPORCIONALIDAD EX ANTE Y AUSENCIA DE JUICIO RETROSPECTIVO</w:t>
      </w:r>
    </w:p>
    <w:p>
      <w:pPr/>
      <w:r>
        <w:t>La proporcionalidad económica se evaluará atendiendo las circunstancias existentes cuando se asumieron los aportes y riesgos: incertidumbre, ausencia de utilidades para Andrés, capital expuesto, trabajo no remunerado, costo de oportunidad, obligaciones operativas y posibilidad real de pérdida.</w:t>
      </w:r>
    </w:p>
    <w:p>
      <w:pPr/>
      <w:r>
        <w:t>El éxito, fama, ingresos o valorización posteriores no convertirán retroactivamente en injustos los riesgos y aportes aceptados durante la etapa fundacional. Del mismo modo, el fracaso empresarial de buena fe no elimina el valor de los aportes de Felipe ni crea responsabilidad automática.</w:t>
      </w:r>
    </w:p>
    <w:p>
      <w:pPr/>
      <w:r>
        <w:t>Las partes consideran razonables la recuperación prioritaria del CEF, la Prima Fundacional, la separación por etapas y el periodo económico maduro, porque responden a una asignación consciente de riesgo y recompensa. Esta declaración no excluye el control judicial, las normas imperativas ni la revisión de errores, fuerza, dolo, abuso, simulación o información falsa.</w:t>
      </w:r>
    </w:p>
    <w:p>
      <w:pPr>
        <w:pStyle w:val="Clause"/>
      </w:pPr>
      <w:r>
        <w:t>CLÁUSULA 3C. NEGOCIACIÓN INFORMADA, ALTERNATIVAS Y LIBERTAD DE DECISIÓN</w:t>
      </w:r>
    </w:p>
    <w:p>
      <w:pPr/>
      <w:r>
        <w:t>Cada parte declara que pudo leer el documento, formular preguntas, proponer modificaciones, solicitar soportes, consultar a un abogado o contador independiente y decidir no firmar. La amistad, confianza previa, diferencia de experiencia empresarial o expectativa de éxito no sustituyen el consentimiento ni autorizan presión, engaño u ocultamiento.</w:t>
      </w:r>
    </w:p>
    <w:p>
      <w:pPr/>
      <w:r>
        <w:t>Ninguna parte declara que firmó por amenaza, fuerza, engaño, error esencial o imposibilidad jurídica de elegir. Si alguna parte considera que existe presión económica, emocional o personal que afecte su decisión, deberá dejarlo escrito en las salvedades y abstenerse de firmar hasta obtener asesoría independiente.</w:t>
      </w:r>
    </w:p>
    <w:p>
      <w:pPr/>
      <w:r>
        <w:t>La firma no implica renuncia general a acudir a autoridades o jueces. Sí constituye una conducta jurídicamente relevante de aceptación y genera un deber de coherencia conforme a la buena fe. Cuando una declaración, aprobación, conciliación o conducta permita razonablemente que la otra parte continúe invirtiendo dinero, trabajo, activos o reputación, no podrá desconocerse después de manera intempestiva y contradictoria, salvo causa legal, información nueva relevante o prueba suficiente.</w:t>
      </w:r>
    </w:p>
    <w:p>
      <w:pPr>
        <w:pStyle w:val="Clause"/>
      </w:pPr>
      <w:r>
        <w:t>CLÁUSULA 3C.1. DECISIÓN PROPIA Y AUSENCIA DE PROMESAS GARANTIZADAS</w:t>
      </w:r>
    </w:p>
    <w:p>
      <w:pPr/>
      <w:r>
        <w:t>Cada parte adopta la decisión de firmar con base en su propio análisis, en los hechos y aportes revelados, en los soportes disponibles y en las reglas escritas. Ninguna proyección, presupuesto, escenario, estimación de audiencia, valorización o expectativa de ingresos constituye garantía de resultado, rentabilidad mínima ni promesa de riqueza futura, salvo obligación expresamente escrita como cierta y exigible.</w:t>
      </w:r>
    </w:p>
    <w:p>
      <w:pPr/>
      <w:r>
        <w:t>Las partes asumen conscientemente que el Proyecto puede tardar en producir ingresos, generar pérdidas, requerir reinversión o no alcanzar las metas previstas. El incumplimiento de una proyección de buena fe no constituye por sí solo engaño ni incumplimiento contractual.</w:t>
      </w:r>
    </w:p>
    <w:p>
      <w:pPr/>
      <w:r>
        <w:t>Esta cláusula no excluye responsabilidad por información falsa, dolo, ocultamiento material, promesas escritas expresamente garantizadas o hechos que una parte conocía y tenía el deber de revelar. Tampoco impide demostrar error, fuerza o dolo conforme a la ley colombiana.</w:t>
      </w:r>
    </w:p>
    <w:p>
      <w:pPr>
        <w:pStyle w:val="Clause"/>
      </w:pPr>
      <w:r>
        <w:t>CLÁUSULA 3D. CAPACIDAD, EXPERIENCIA Y COMPRENSIÓN EMPRESARIAL</w:t>
      </w:r>
    </w:p>
    <w:p>
      <w:pPr/>
      <w:r>
        <w:t>Las partes son mayores de edad, capaces para contratar y cuentan con experiencia relevante en sus respectivos campos. Andrés posee experiencia en estrategia, tecnología, administración, producción, inversión y estructuración de negocios. Felipe posee experiencia profesional en automovilismo, mecánica, creación de contenido, relación con marcas, eventos y exposición pública.</w:t>
      </w:r>
    </w:p>
    <w:p>
      <w:pPr/>
      <w:r>
        <w:t>La diferencia entre sus especialidades no convierte a ninguna parte en incapaz, subordinada o carente de criterio. Cada una declara comprender que este es un acuerdo empresarial de riesgo, que puede producir ganancias, pérdidas, cambios de valor y obligaciones de largo plazo.</w:t>
      </w:r>
    </w:p>
    <w:p>
      <w:pPr/>
      <w:r>
        <w:t>Cuando una materia exceda sus conocimientos, cada parte asume la responsabilidad de solicitar explicación o asesoría antes de aprobarla. Esta declaración no elimina el deber de información de la otra parte ni valida engaño, abuso u ocultamiento.</w:t>
      </w:r>
    </w:p>
    <w:p>
      <w:pPr>
        <w:pStyle w:val="Clause"/>
      </w:pPr>
      <w:r>
        <w:t>CLÁUSULA 4. NATURALEZA ACTUAL Y FUTURA</w:t>
      </w:r>
    </w:p>
    <w:p>
      <w:pPr>
        <w:keepLines w:val="0"/>
      </w:pPr>
      <w:r>
        <w:t>Hasta la inscripción de la SAS, la relación es contractual. Este acuerdo no crea por sí solo una persona jurídica ni transfiere automáticamente bienes personales.</w:t>
      </w:r>
    </w:p>
    <w:p>
      <w:pPr>
        <w:keepLines w:val="0"/>
      </w:pPr>
      <w:r>
        <w:t>Una vez inscrita INVERSIONES RACING 360 S.A.S., esta será una persona jurídica distinta de sus accionistas, conforme a los artículos 1 y 2 de la Ley 1258 de 2008.</w:t>
      </w:r>
    </w:p>
    <w:p>
      <w:pPr>
        <w:keepLines w:val="0"/>
      </w:pPr>
      <w:r>
        <w:t>Las partes se obligan a adaptar este acuerdo a los estatutos y al acuerdo de accionistas, sin desconocer los derechos históricos aquí reconocidos.</w:t>
      </w:r>
    </w:p>
    <w:p>
      <w:pPr>
        <w:pStyle w:val="Heading1"/>
      </w:pPr>
      <w:r>
        <w:t>TÍTULO II — APORTES, CEF Y PARTICIPACIÓN ECONÓMICA</w:t>
      </w:r>
    </w:p>
    <w:p>
      <w:pPr>
        <w:pStyle w:val="Clause"/>
      </w:pPr>
      <w:r>
        <w:t>CLÁUSULA 4A. NATURALEZA EMPRESARIAL, AUTONOMÍA Y PREVENCIÓN DE SUBORDINACIÓN LABORAL</w:t>
      </w:r>
    </w:p>
    <w:p>
      <w:pPr/>
      <w:r>
        <w:t>La intención común es desarrollar una colaboración empresarial con vocación societaria y participación en riesgos, activos, recuperación de inversiones y utilidades. La dirección estratégica de Andrés corresponde a gobierno, coordinación, presupuesto y protección del patrimonio común; no le confiere por sí sola facultad patronal para imponer a Felipe órdenes permanentes sobre modo, tiempo o cantidad de trabajo.</w:t>
      </w:r>
    </w:p>
    <w:p>
      <w:pPr/>
      <w:r>
        <w:t>Felipe conserva autonomía técnica y profesional para preparar y ejecutar sus aportes, podrá proponer métodos, reprogramaciones y alternativas, y no estará sujeto a jornada laboral, reglamento interno de trabajo, salario fijo, vacaciones autorizadas ni control disciplinario. Los planes trimestrales describen compromisos empresariales, entregables y coordinación, no horarios de subordinación.</w:t>
      </w:r>
    </w:p>
    <w:p>
      <w:pPr/>
      <w:r>
        <w:t>Cada parte asumirá sus obligaciones tributarias y de seguridad social según la naturaleza real de sus ingresos y actividades, salvo que la SAS contrate posteriormente a alguna de ellas mediante un vínculo laboral separado y escrito.</w:t>
      </w:r>
    </w:p>
    <w:p>
      <w:pPr/>
      <w:r>
        <w:t>La denominación contractual no prevalece sobre la realidad. Si la ejecución comienza a reunir prestación personal, remuneración y subordinación continuada en los términos de la legislación laboral, las partes deberán corregir la práctica o formalizar el vínculo aplicable. Ninguna declaración de este acuerdo implica renuncia a derechos laborales ciertos e irrenunciables.</w:t>
      </w:r>
    </w:p>
    <w:p>
      <w:pPr>
        <w:pStyle w:val="Clause"/>
      </w:pPr>
      <w:r>
        <w:t>CLÁUSULA 5. APORTES DE ANDRÉS</w:t>
      </w:r>
    </w:p>
    <w:p>
      <w:pPr>
        <w:pStyle w:val="ListBullet"/>
        <w:spacing w:after="40"/>
        <w:ind w:left="317" w:hanging="173"/>
      </w:pPr>
      <w:r>
        <w:t>Capital económico generado mediante su trabajo y patrimonio personal.</w:t>
      </w:r>
    </w:p>
    <w:p>
      <w:pPr>
        <w:pStyle w:val="ListBullet"/>
        <w:spacing w:after="40"/>
        <w:ind w:left="317" w:hanging="173"/>
      </w:pPr>
      <w:r>
        <w:t>Dirección estratégica y empresarial.</w:t>
      </w:r>
    </w:p>
    <w:p>
      <w:pPr>
        <w:pStyle w:val="ListBullet"/>
        <w:spacing w:after="40"/>
        <w:ind w:left="317" w:hanging="173"/>
      </w:pPr>
      <w:r>
        <w:t>Tecnología, producción, grabación, edición y administración de redes.</w:t>
      </w:r>
    </w:p>
    <w:p>
      <w:pPr>
        <w:pStyle w:val="ListBullet"/>
        <w:spacing w:after="40"/>
        <w:ind w:left="317" w:hanging="173"/>
      </w:pPr>
      <w:r>
        <w:t>Analítica, propuestas, patrocinadores, procesos y desarrollo de negocios.</w:t>
      </w:r>
    </w:p>
    <w:p>
      <w:pPr>
        <w:pStyle w:val="ListBullet"/>
        <w:spacing w:after="40"/>
        <w:ind w:left="317" w:hanging="173"/>
      </w:pPr>
      <w:r>
        <w:t>Vehículos, equipos, logística, tiempo profesional, riesgo y costo de oportunidad.</w:t>
      </w:r>
    </w:p>
    <w:p>
      <w:pPr>
        <w:pStyle w:val="Clause"/>
      </w:pPr>
      <w:r>
        <w:t>CLÁUSULA 6. APORTES DE FELIPE</w:t>
      </w:r>
    </w:p>
    <w:p>
      <w:pPr>
        <w:pStyle w:val="ListBullet"/>
        <w:spacing w:after="40"/>
        <w:ind w:left="317" w:hanging="173"/>
      </w:pPr>
      <w:r>
        <w:t>Conocimientos técnicos, mecánicos y deportivos.</w:t>
      </w:r>
    </w:p>
    <w:p>
      <w:pPr>
        <w:pStyle w:val="ListBullet"/>
        <w:spacing w:after="40"/>
        <w:ind w:left="317" w:hanging="173"/>
      </w:pPr>
      <w:r>
        <w:t>Conducción, criterio, experiencia y participación en competencias.</w:t>
      </w:r>
    </w:p>
    <w:p>
      <w:pPr>
        <w:pStyle w:val="ListBullet"/>
        <w:spacing w:after="40"/>
        <w:ind w:left="317" w:hanging="173"/>
      </w:pPr>
      <w:r>
        <w:t>Imagen, voz, presencia frente a cámara y comunicación.</w:t>
      </w:r>
    </w:p>
    <w:p>
      <w:pPr>
        <w:pStyle w:val="ListBullet"/>
        <w:spacing w:after="40"/>
        <w:ind w:left="317" w:hanging="173"/>
      </w:pPr>
      <w:r>
        <w:t>Capacidad pedagógica, relaciones y ejecución técnica de campañas.</w:t>
      </w:r>
    </w:p>
    <w:p>
      <w:pPr>
        <w:pStyle w:val="Clause"/>
      </w:pPr>
      <w:r>
        <w:t>CLÁUSULA 7. CAPITAL EMPRESARIAL FUNDACIONAL — CEF</w:t>
      </w:r>
    </w:p>
    <w:p>
      <w:pPr>
        <w:keepLines w:val="0"/>
      </w:pPr>
      <w:r>
        <w:t>El CEF reconoce los aportes históricos que hicieron posible el Proyecto. Su valor mínimo provisional documentado es de aproximadamente OCHENTA Y CINCO MILLONES VEINTE MIL PESOS ($85.020.000 COP), antes de valorar completamente el trabajo y realizar la conciliación definitiva.</w:t>
      </w:r>
    </w:p>
    <w:p>
      <w:pPr>
        <w:keepLines w:val="0"/>
      </w:pPr>
      <w:r>
        <w:t>Se reconocen provisionalmente 3.230 horas de trabajo audiovisual y operativo, sujetas a prueba, valoración y prohibición de doble contabilización.</w:t>
      </w:r>
    </w:p>
    <w:p>
      <w:pPr>
        <w:keepLines w:val="0"/>
      </w:pPr>
      <w:r>
        <w:t>El CEF no es, por su sola existencia, una deuda personal, líquida y exigible de Felipe. Es un derecho histórico de reconocimiento y recuperación con prioridad económica sobre las utilidades distribuibles, sujeto a conciliación, soportes, recuperaciones previas y prohibición de doble contabilización.</w:t>
      </w:r>
    </w:p>
    <w:p>
      <w:pPr/>
      <w:r>
        <w:t>La etapa de construcción no consume ni reduce el periodo de diez (10) años de participación sobre utilidades maduras. El tiempo dedicado a desarrollar audiencia, productos, procesos, cartera e ingresos se contabiliza como etapa fundacional y de recuperación, no como parte del Periodo Económico Maduro.</w:t>
      </w:r>
    </w:p>
    <w:p>
      <w:pPr>
        <w:pStyle w:val="Clause"/>
      </w:pPr>
      <w:r>
        <w:t>CLÁUSULA 8. YACAR Y OTROS ACTIVOS</w:t>
      </w:r>
    </w:p>
    <w:p>
      <w:pPr>
        <w:keepLines w:val="0"/>
      </w:pPr>
      <w:r>
        <w:t>Como referencia provisional, Andrés aportó aproximadamente $30.000.000 COP al Yacar, Felipe aproximadamente $20.000.000 COP y existe un saldo aproximado de $15.000.000 COP con el vendedor. La tasa mencionada es de 1,5 % mensual, con base pendiente de reconstrucción.</w:t>
      </w:r>
    </w:p>
    <w:p>
      <w:pPr>
        <w:keepLines w:val="0"/>
      </w:pPr>
      <w:r>
        <w:t>El Suzuki Swift GTi es propiedad personal de Andrés. La participación económica interna del Yacar se determinará con pagos, mensajes, posesión y demás evidencia disponible.</w:t>
      </w:r>
    </w:p>
    <w:p>
      <w:pPr>
        <w:keepLines w:val="0"/>
      </w:pPr>
      <w:r>
        <w:t>La utilización de un activo personal dentro del Proyecto no transfiere su propiedad, salvo documento expreso.</w:t>
      </w:r>
    </w:p>
    <w:p>
      <w:pPr/>
      <w:r>
        <w:t>Compensación de obligaciones relacionadas con el Yacar. Los saldos que resulten claros, documentados, vencidos y conciliados podrán compensarse con distribuciones, reembolsos o valores que correspondan a la parte obligada. Antes de aplicar el descuento deberá entregarse una liquidación con soportes y concederse cinco días hábiles para formular objeciones. Ninguna cifra provisional, controvertida o no soportada se descontará automáticamente.</w:t>
      </w:r>
    </w:p>
    <w:p>
      <w:pPr/>
      <w:r>
        <w:t>Cierre matemático del Yacar. Dentro de los treinta (30) días siguientes a la firma, las partes deberán elaborar y suscribir un Acta de Conciliación del Yacar que identifique: capital aportado por cada parte; saldo real con el vendedor; titular de la obligación; base de cálculo de intereses; tasa aplicable dentro de los límites legales; fechas de causación; pagos realizados; criterio de amortización; cuotas futuras; garantías; y forma de compensación con ingresos del Proyecto. Mientras no se suscriba el acta, las cifras y tasas indicadas en este acuerdo conservarán carácter provisional y no podrán utilizarse para aplicar descuentos controvertidos.</w:t>
      </w:r>
    </w:p>
    <w:p>
      <w:pPr>
        <w:pStyle w:val="Clause"/>
      </w:pPr>
      <w:r>
        <w:t>CLÁUSULA 9. ETAPAS ECONÓMICAS, RECUPERACIÓN Y PERIODO DE UTILIDADES</w:t>
      </w:r>
    </w:p>
    <w:p>
      <w:pPr>
        <w:keepLines w:val="0"/>
      </w:pPr>
      <w:r>
        <w:t>ETAPA 1 — CONSTRUCCIÓN Y VALIDACIÓN. Comienza el 1 de junio de 2022 y continúa mientras el Proyecto desarrolla audiencia, contenidos, productos, procesos, patrocinadores y capacidad de monetización. En esta etapa puede no existir utilidad distribuible. La participación económica fundacional será 65 % para Andrés y 35 % para Felipe, sin obligación de distribuir recursos necesarios para operar, cumplir obligaciones o preservar capital de trabajo.</w:t>
      </w:r>
    </w:p>
    <w:p>
      <w:pPr>
        <w:keepLines w:val="0"/>
      </w:pPr>
      <w:r>
        <w:t>ETAPA 2 — RECUPERACIÓN FUNDACIONAL. Comienza cuando existan ingresos comerciales y continúa hasta que se hayan pagado impuestos, costos directos, obligaciones con terceros, capital de trabajo aprobado, deudas iniciales reconocidas y el CEF neto conciliado, incluidos los costos financieros aceptados y la Prima Fundacional del 20 %. Durante esta etapa los ingresos no se confunden con ganancias personales: se aplican prioritariamente a estabilizar el negocio y liberar las inversiones iniciales.</w:t>
      </w:r>
    </w:p>
    <w:p>
      <w:pPr>
        <w:keepLines w:val="0"/>
      </w:pPr>
      <w:r>
        <w:t>ETAPA 3 — PERIODO ECONÓMICO MADURO. Tendrá una duración completa de diez (10) años y solo comenzará en la Fecha de Liberación Fundacional. Durante este periodo, los excedentes netos se distribuirán 55 % para Andrés y 45 % para Felipe, sin modificar automáticamente las acciones de la SAS.</w:t>
      </w:r>
    </w:p>
    <w:p>
      <w:pPr/>
      <w:r>
        <w:t>La Fecha de Liberación Fundacional será aquella en la que concurran: (i) saldo cero del CEF neto, costos financieros y Prima Fundacional; (ii) pago, refinanciación o provisión suficiente de las obligaciones iniciales aprobadas; (iii) capital de trabajo mínimo acordado; y (iv) utilidad operativa neta positiva durante tres (3) meses consecutivos. Las partes la certificarán mediante acta.</w:t>
      </w:r>
    </w:p>
    <w:p>
      <w:pPr/>
      <w:r>
        <w:t>Si las condiciones objetivas se cumplen y una parte se niega injustificadamente a firmar el acta, la fecha será determinada por el contador de la sociedad o, en su ausencia, por contador público independiente designado de común acuerdo. La negativa a firmar no podrá retrasar artificialmente el inicio del Periodo Económico Maduro.</w:t>
      </w:r>
    </w:p>
    <w:p>
      <w:pPr/>
      <w:r>
        <w:t>Los diez (10) años del Periodo Económico Maduro se cuentan completos desde la Fecha de Liberación Fundacional, aunque la construcción y recuperación hayan tomado varios años. Al terminar, las partes revisarán la renovación económica por periodos adicionales de hasta diez (10) años y adecuarán los documentos societarios exigidos por la ley.</w:t>
      </w:r>
    </w:p>
    <w:p>
      <w:pPr>
        <w:pStyle w:val="Heading1"/>
      </w:pPr>
      <w:r>
        <w:t>TÍTULO III — ADMINISTRACIÓN, TRABAJO Y DECISIONES</w:t>
      </w:r>
    </w:p>
    <w:p>
      <w:pPr>
        <w:pStyle w:val="Clause"/>
      </w:pPr>
      <w:r>
        <w:t>CLÁUSULA 10. FUNCIONES PRINCIPALES</w:t>
      </w:r>
    </w:p>
    <w:p>
      <w:pPr>
        <w:keepLines w:val="0"/>
      </w:pPr>
      <w:r>
        <w:t>Andrés dirigirá principalmente la estrategia, administración, presupuesto, producción, tecnología, monetización, patrocinadores, nuevos negocios y protección patrimonial.</w:t>
      </w:r>
    </w:p>
    <w:p>
      <w:pPr>
        <w:keepLines w:val="0"/>
      </w:pPr>
      <w:r>
        <w:t>Felipe dirigirá principalmente la ejecución técnica, deportiva, pedagógica, pública y frente a cámara.</w:t>
      </w:r>
    </w:p>
    <w:p>
      <w:pPr>
        <w:keepLines w:val="0"/>
      </w:pPr>
      <w:r>
        <w:t>Las áreas son complementarias. La visibilidad pública no determina por sí sola propiedad o mayor creación de valor.</w:t>
      </w:r>
    </w:p>
    <w:p>
      <w:pPr>
        <w:pStyle w:val="Clause"/>
      </w:pPr>
      <w:r>
        <w:t>CLÁUSULA 11. PLAN OPERATIVO</w:t>
      </w:r>
    </w:p>
    <w:p>
      <w:pPr>
        <w:keepLines w:val="0"/>
      </w:pPr>
      <w:r>
        <w:t>Cada trimestre las partes definirán por escrito un plan sencillo de resultados y coordinación que identifique entregables, responsables, fechas objetivo, dependencias, recursos y presupuesto. Podrán registrarse ventanas propuestas para producciones o eventos cuando la naturaleza de la actividad exija coincidencia presencial, sin convertirlas en jornada laboral, control de asistencia o disponibilidad permanente.</w:t>
      </w:r>
    </w:p>
    <w:p>
      <w:pPr>
        <w:keepLines w:val="0"/>
      </w:pPr>
      <w:r>
        <w:t>El plan no crea subordinación laboral ni disponibilidad absoluta. Las fechas se acordarán considerando la dedicación parcial, los empleos o actividades principales de ambos, salud, seguridad, fuerza mayor y compromisos previamente informados. Cuando surja un impedimento, la parte afectada deberá comunicarlo oportunamente y proponer reprogramación, sustitución o transición razonable.</w:t>
      </w:r>
    </w:p>
    <w:p>
      <w:pPr>
        <w:keepLines w:val="0"/>
      </w:pPr>
      <w:r>
        <w:t>Existirá abandono operativo cuando una parte incumpla tres compromisos esenciales consecutivos sin justificación verificable o permanezca treinta días sin responder solicitudes esenciales, después de requerimiento escrito y diez días hábiles para corregir o acordar transición.</w:t>
      </w:r>
    </w:p>
    <w:p>
      <w:pPr/>
      <w:r>
        <w:t>Reequilibrio por costos hundidos. Cuando una parte no asista, sin justificación objetiva y verificable, a una actividad aprobada en el plan trimestral y ello cause costos directos, necesarios, no recuperables y documentados, dichos costos podrán cargarse a su cuenta económica y compensarse con la siguiente distribución. La parte afectada deberá mitigar razonablemente el perjuicio, entregar la liquidación y soportes, y permitir cinco (5) días hábiles para objeciones. No se incluirán utilidades esperadas, valoraciones subjetivas de tiempo ni costos evitables.</w:t>
      </w:r>
    </w:p>
    <w:p>
      <w:pPr>
        <w:pStyle w:val="Clause"/>
      </w:pPr>
      <w:r>
        <w:t>CLÁUSULA 11A. DEDICACIÓN PARCIAL, ACTIVIDADES PROFESIONALES INDEPENDIENTES Y DISPONIBILIDAD</w:t>
      </w:r>
    </w:p>
    <w:p>
      <w:pPr/>
      <w:r>
        <w:t>Al momento de suscribir este acuerdo, Andrés y Felipe mantienen empleos, contratos, negocios o actividades profesionales principales independientes de FELIPEGIL360 y de INVERSIONES RACING 360 S.A.S. El Proyecto constituye una iniciativa empresarial conjunta desarrollada con dedicación parcial, flexible y compatible con dichas actividades.</w:t>
      </w:r>
    </w:p>
    <w:p>
      <w:pPr/>
      <w:r>
        <w:t>Ninguna parte estará obligada a otorgar exclusividad de tiempo, cumplir una jornada laboral, mantener disponibilidad permanente, solicitar permisos personales a la otra o abandonar sus actividades profesionales principales. La dirección estratégica, los planes trimestrales y la coordinación de producciones son mecanismos de gobierno y organización empresarial, no facultades de subordinación laboral.</w:t>
      </w:r>
    </w:p>
    <w:p>
      <w:pPr/>
      <w:r>
        <w:t>Los eventos, producciones, campañas y entregables deberán acordarse previamente, teniendo en cuenta la disponibilidad razonable de ambos fundadores. Una vez aceptado expresamente un compromiso, cada parte deberá ejecutarlo con diligencia o informar oportunamente cualquier impedimento y proponer una alternativa razonable de reprogramación, sustitución o transición.</w:t>
      </w:r>
    </w:p>
    <w:p>
      <w:pPr/>
      <w:r>
        <w:t>La existencia de empleos o actividades externas no constituye por sí sola justificación automática para incumplir compromisos previamente aceptados. Tampoco podrá interpretarse una imposibilidad ocasional de asistencia como abandono cuando exista comunicación oportuna, justificación razonable y cooperación para reducir sus efectos.</w:t>
      </w:r>
    </w:p>
    <w:p>
      <w:pPr/>
      <w:r>
        <w:t>Cada fundador conservará autonomía para organizar el modo, lugar y tiempo de ejecución de sus responsabilidades, salvo fechas, resultados, presupuestos, medidas de seguridad o condiciones técnicas previamente acordadas por necesidad objetiva del Proyecto.</w:t>
      </w:r>
    </w:p>
    <w:p>
      <w:pPr/>
      <w:r>
        <w:t>Si en el futuro alguna parte presta servicios personales continuos bajo subordinación o mediante remuneración laboral, la sociedad deberá documentar esa relación mediante contrato separado y cumplir las obligaciones laborales y de seguridad social correspondientes. La realidad de la ejecución prevalecerá sobre la denominación utilizada en este acuerdo.</w:t>
      </w:r>
    </w:p>
    <w:p>
      <w:pPr>
        <w:pStyle w:val="Clause"/>
      </w:pPr>
      <w:r>
        <w:t>CLÁUSULA 11B. REGISTRO OPERATIVO ORIENTADO A RESULTADOS</w:t>
      </w:r>
    </w:p>
    <w:p>
      <w:pPr/>
      <w:r>
        <w:t>Las actas, tableros, mensajes y herramientas de gestión deberán registrar preferentemente resultados, entregables, responsables, fechas objetivo, presupuesto, dependencias, decisiones y riesgos. Se evitarán expresiones o prácticas propias de control laboral, como marcación de entrada y salida, autorización de permisos personales, llamados disciplinarios, sanciones por tardanza o supervisión cotidiana del modo de trabajo.</w:t>
      </w:r>
    </w:p>
    <w:p>
      <w:pPr/>
      <w:r>
        <w:t>La coordinación necesaria para grabaciones, competencias, campañas, seguridad, uso de vehículos, acceso a instalaciones o compromisos con terceros no constituye subordinación cuando responde a condiciones objetivas de la actividad y fue acordada entre los fundadores.</w:t>
      </w:r>
    </w:p>
    <w:p>
      <w:pPr/>
      <w:r>
        <w:t>Los registros deberán reflejar la realidad. Ninguna parte podrá utilizar esta cláusula para impedir la trazabilidad, el seguimiento de entregables, la rendición de cuentas o la exigencia comercial de compromisos expresamente aceptados.</w:t>
      </w:r>
    </w:p>
    <w:p>
      <w:pPr>
        <w:pStyle w:val="Clause"/>
      </w:pPr>
      <w:r>
        <w:t>CLÁUSULA 12. DECISIONES</w:t>
      </w:r>
    </w:p>
    <w:p>
      <w:pPr>
        <w:keepLines w:val="0"/>
      </w:pPr>
      <w:r>
        <w:t>Cada responsable podrá adoptar decisiones ordinarias dentro de su área y presupuesto aprobado.</w:t>
      </w:r>
    </w:p>
    <w:p>
      <w:pPr>
        <w:keepLines w:val="0"/>
      </w:pPr>
      <w:r>
        <w:t>Requerirán aprobación de ambos: cambio de porcentajes, venta de activos esenciales, endeudamiento material, exclusividades amplias, entrada de inversionistas, cesión de marcas, terminación, Buy-Out, liquidación y modificación del presente acuerdo.</w:t>
      </w:r>
    </w:p>
    <w:p>
      <w:pPr>
        <w:keepLines w:val="0"/>
      </w:pPr>
      <w:r>
        <w:t>El silencio no equivale a autorización.</w:t>
      </w:r>
    </w:p>
    <w:p>
      <w:pPr>
        <w:pStyle w:val="Clause"/>
      </w:pPr>
      <w:r>
        <w:t>CLÁUSULA 13. TRANSPARENCIA FINANCIERA</w:t>
      </w:r>
    </w:p>
    <w:p>
      <w:pPr>
        <w:keepLines w:val="0"/>
      </w:pPr>
      <w:r>
        <w:t>Todo ingreso o gasto del Proyecto deberá tener trazabilidad razonable. La cuenta receptora no determina por sí sola la propiedad económica.</w:t>
      </w:r>
    </w:p>
    <w:p>
      <w:pPr>
        <w:keepLines w:val="0"/>
      </w:pPr>
      <w:r>
        <w:t>Las partes tendrán acceso a contratos, pagos, facturas, métricas, estados y soportes relacionados con el Proyecto.</w:t>
      </w:r>
    </w:p>
    <w:p>
      <w:pPr>
        <w:keepLines w:val="0"/>
      </w:pPr>
      <w:r>
        <w:t>No se distribuirán porcentajes sobre ventas brutas. Solo se distribuirá utilidad neta después de costos, impuestos, reservas y obligaciones.</w:t>
      </w:r>
    </w:p>
    <w:p>
      <w:pPr>
        <w:pStyle w:val="Heading1"/>
      </w:pPr>
      <w:r>
        <w:t>TÍTULO IV — ECOSISTEMA DIGITAL, CONTENIDOS Y CUENTAS HÍBRIDAS</w:t>
      </w:r>
    </w:p>
    <w:p>
      <w:pPr>
        <w:pStyle w:val="Clause"/>
      </w:pPr>
      <w:r>
        <w:t>CLÁUSULA 13A. CONCILIACIÓN PERIÓDICA, OBJECIONES Y CONSOLIDACIÓN DE REGISTROS</w:t>
      </w:r>
    </w:p>
    <w:p>
      <w:pPr/>
      <w:r>
        <w:t>Dentro de los noventa (90) días siguientes al cierre de cada año calendario, y adicionalmente cuando ocurra retiro, Buy-Out, inversión, venta o liquidación, Andrés o la administración de la SAS presentarán un informe de conciliación que identifique ingresos, costos, obligaciones, recuperaciones, saldo provisional del CEF, aportes adicionales, activos adquiridos, contratos relevantes y distribuciones.</w:t>
      </w:r>
    </w:p>
    <w:p>
      <w:pPr/>
      <w:r>
        <w:t>El informe deberá acompañarse de soportes suficientes o indicar dónde pueden consultarse. La otra parte dispondrá de veinte (20) días hábiles desde la entrega completa para formular objeciones concretas, indicar el rubro discutido y aportar o solicitar los soportes pertinentes. Las objeciones generales o sin identificación del punto controvertido no suspenden los rubros no objetados.</w:t>
      </w:r>
    </w:p>
    <w:p>
      <w:pPr/>
      <w:r>
        <w:t>Los rubros no objetados dentro de los veinte (20) días hábiles se tendrán por aceptados para efectos contables y contractuales del periodo informado, siempre que el informe haya sido entregado por escrito o medio electrónico verificable, identifique claramente los valores y permita acceder a los soportes. La aceptación dará firmeza operativa al corte y evitará reabrirlo por simple cambio de criterio.</w:t>
      </w:r>
    </w:p>
    <w:p>
      <w:pPr/>
      <w:r>
        <w:t>La firmeza operativa no constituye una reducción de los términos legales de prescripción o caducidad, ni impide acciones fundadas en fraude, falsedad, dolo, ocultamiento material, error aritmético manifiesto, doble contabilización, gasto ajeno al Proyecto, falta de soportes ofrecidos o normas imperativas.</w:t>
      </w:r>
    </w:p>
    <w:p>
      <w:pPr/>
      <w:r>
        <w:t>Cuando exista una objeción parcial, los valores no discutidos permanecerán firmes y solo el rubro identificado será sometido a revisión, conciliación, contador independiente o mecanismo de controversia.</w:t>
      </w:r>
    </w:p>
    <w:p>
      <w:pPr/>
      <w:r>
        <w:t>El silencio no convertirá en deuda personal una cifra que por su naturaleza no lo sea, ni convalidará doble contabilización, gastos sin relación con el Proyecto o información deliberadamente incompleta. La consolidación busca dar certeza progresiva y evitar auditorías tardías sobre asuntos que fueron transparentemente informados.</w:t>
      </w:r>
    </w:p>
    <w:p>
      <w:pPr/>
      <w:r>
        <w:t>Cada conciliación aprobada, no objetada o resuelta se incorporará al Libro del Proyecto y servirá de base para el periodo siguiente, sin sustituir el acta especial exigida para declarar la Fecha de Liberación Fundacional.</w:t>
      </w:r>
    </w:p>
    <w:p>
      <w:pPr>
        <w:pStyle w:val="Clause"/>
      </w:pPr>
      <w:r>
        <w:t>CLÁUSULA 14. CONTENIDOS Y PROPIEDAD INTELECTUAL</w:t>
      </w:r>
    </w:p>
    <w:p>
      <w:pPr>
        <w:keepLines w:val="0"/>
      </w:pPr>
      <w:r>
        <w:t>Los conocimientos, experiencia, nombre, imagen y capacidades personales continúan siendo de quien los posee. Los contenidos, campañas, procesos, diseños, sistemas, métricas, bases de datos, relaciones comerciales, posicionamiento, reputación, audiencia y resultados creados o consolidados mediante el Proyecto forman parte del Patrimonio Empresarial, sin perjuicio de los derechos morales y personalísimos.</w:t>
      </w:r>
    </w:p>
    <w:p>
      <w:pPr>
        <w:keepLines w:val="0"/>
      </w:pPr>
      <w:r>
        <w:t>Ninguna parte podrá eliminar, ocultar, retener, vender, trasladar o explotar unilateralmente contenidos, archivos maestros, cuentas, canales, marcas, métricas, bases de datos, contactos, oportunidades o accesos empresariales.</w:t>
      </w:r>
    </w:p>
    <w:p>
      <w:pPr>
        <w:keepLines w:val="0"/>
      </w:pPr>
      <w:r>
        <w:t>La biblioteca histórica y los demás activos empresariales podrán seguir siendo explotados para archivo, promoción, monetización, licenciamiento y cumplimiento de compromisos, respetando derechos de imagen, contratos con terceros y las reglas de retiro, valoración y Buy-Out.</w:t>
      </w:r>
    </w:p>
    <w:p>
      <w:pPr>
        <w:pStyle w:val="Clause"/>
      </w:pPr>
      <w:r>
        <w:t>CLÁUSULA 14A. PROTECCIÓN DE DATOS PERSONALES Y HABEAS DATA</w:t>
      </w:r>
    </w:p>
    <w:p>
      <w:pPr/>
      <w:r>
        <w:t>Las bases de datos de clientes, seguidores, aliados, patrocinadores, proveedores, estudiantes o usuarios obtenidas mediante el Proyecto forman parte del Ecosistema Empresarial, sin perjuicio de que los datos personales pertenecen a sus titulares y solo podrán tratarse conforme a la autorización otorgada, la finalidad informada y la normativa colombiana aplicable.</w:t>
      </w:r>
    </w:p>
    <w:p>
      <w:pPr/>
      <w:r>
        <w:t>Mientras se constituye INVERSIONES RACING 360 S.A.S., las partes actuarán como responsables conjuntos respecto de los tratamientos que definan de común acuerdo y deberán conservar evidencia de autorizaciones, avisos de privacidad, finalidades, canales de consulta y medidas de seguridad. Una vez constituida, la SAS será el responsable principal del tratamiento de los datos recolectados para el Ecosistema, salvo que un contrato o la ley asigne un rol diferente.</w:t>
      </w:r>
    </w:p>
    <w:p>
      <w:pPr/>
      <w:r>
        <w:t>Ninguna parte podrá copiar, extraer, ceder, comercializar, migrar o utilizar bases de datos para fines personales, canales derivados o negocios independientes sin autorización válida y sin respetar los derechos económicos del Proyecto. La transferencia o transmisión a terceros requerirá el soporte contractual y de privacidad correspondiente.</w:t>
      </w:r>
    </w:p>
    <w:p>
      <w:pPr/>
      <w:r>
        <w:t>La sociedad deberá adoptar una política de tratamiento de información, procedimiento de consultas y reclamos, registro de incidentes, controles de acceso y medidas razonables de seguridad. Los incidentes de pérdida, acceso no autorizado o uso indebido deberán informarse de inmediato a la administración y gestionarse conforme a la ley.</w:t>
      </w:r>
    </w:p>
    <w:p>
      <w:pPr>
        <w:pStyle w:val="Clause"/>
      </w:pPr>
      <w:r>
        <w:t>CLÁUSULA 15. CUENTAS, CANALES Y ACTIVOS DIGITALES HÍBRIDOS</w:t>
      </w:r>
    </w:p>
    <w:p>
      <w:pPr>
        <w:keepLines w:val="0"/>
      </w:pPr>
      <w:r>
        <w:t>Felipe conserva su identidad, nombre, imagen y control originario sobre cualquier cuenta, perfil o canal en plataformas digitales —incluidas, a modo ilustrativo, Instagram, TikTok, YouTube, Twitch u otras presentes o futuras— creado por él antes del inicio del Proyecto o acordado para operar bajo su identidad personal.</w:t>
      </w:r>
    </w:p>
    <w:p>
      <w:pPr>
        <w:keepLines w:val="0"/>
      </w:pPr>
      <w:r>
        <w:t>El valor demostrablemente existente antes del 1 de junio de 2022 será personal de Felipe. El crecimiento, contenidos, comunidad, métricas, posicionamiento, relaciones comerciales, capacidad de monetización y goodwill desarrollados mediante FELIPEGIL360 en cualquier cuenta, canal o plataforma constituyen valor empresarial compartido, indistintamente de la red social, medio de difusión, dispositivo, formato o infraestructura tecnológica en la que operen.</w:t>
      </w:r>
    </w:p>
    <w:p>
      <w:pPr>
        <w:keepLines w:val="0"/>
      </w:pPr>
      <w:r>
        <w:t>La titularidad técnica, el registro a nombre de una persona, las condiciones de una plataforma o la imposibilidad de transferir una cuenta no eliminan los derechos económicos construidos. En retiro, continuidad independiente, migración tecnológica, Buy-Out o liquidación deberá identificarse, valorarse y protegerse el componente empresarial.</w:t>
      </w:r>
    </w:p>
    <w:p>
      <w:pPr/>
      <w:r>
        <w:t>Retención de activos, migración tecnológica y continuidad independiente. Si cualquiera de las partes conserva de manera exclusiva y definitiva una cuenta, canal, perfil, marca, dominio, aplicación, base de datos, comunidad, relación comercial, licencia, software u otro activo híbrido para continuar explotándolo fuera del Proyecto, se activará un Buy-Out obligatorio del componente empresarial incorporado. La regla se aplicará sin importar el nombre, plataforma, formato, tecnología, infraestructura o titular registral.</w:t>
      </w:r>
    </w:p>
    <w:p>
      <w:pPr/>
      <w:r>
        <w:t>Mientras exista saldo pendiente del Buy-Out, la parte acreedora recibirá el porcentaje económico que le correspondía en el Proyecto sobre los ingresos netos efectivamente recibidos y directamente atribuibles a los activos retenidos o a su continuidad comercial. Los pagos serán abonos al precio y no una participación perpetua; cesarán cuando se pague el saldo total y los costos financieros expresamente acordados.</w:t>
      </w:r>
    </w:p>
    <w:p>
      <w:pPr/>
      <w:r>
        <w:t>La parte que continúe la explotación entregará trimestralmente una relación verificable de ingresos, contratos, facturas, costos directos y pagos aplicados al saldo. No se incluirán actividades personales anteriores ni negocios sin uso material de activos empresariales. La retención no produce confiscación del resto del Proyecto ni libera de la valoración pendiente.</w:t>
      </w:r>
    </w:p>
    <w:p>
      <w:pPr>
        <w:pStyle w:val="Clause"/>
      </w:pPr>
      <w:r>
        <w:t>CLÁUSULA 16. PROTECCIÓN DEL ECOSISTEMA, MIGRACIÓN DE AUDIENCIA Y ACTIVOS DERIVADOS</w:t>
      </w:r>
    </w:p>
    <w:p>
      <w:pPr>
        <w:keepLines w:val="0"/>
      </w:pPr>
      <w:r>
        <w:t>Los accesos esenciales deberán conservarse con trazabilidad, respaldos y mecanismos de recuperación. Las medidas de seguridad no podrán utilizarse para excluir, apropiarse o migrar de forma desleal la audiencia, los contenidos o la monetización.</w:t>
      </w:r>
    </w:p>
    <w:p>
      <w:pPr>
        <w:keepLines w:val="0"/>
      </w:pPr>
      <w:r>
        <w:t>Un cambio de clave o incidente subsanable deberá informarse y corregirse dentro de 48 horas. La retención deliberada, desvío de monetización, eliminación de contenido, transferencia de comunidad o creación de canales sustitutos para eludir los derechos económicos del Proyecto constituye incumplimiento grave.</w:t>
      </w:r>
    </w:p>
    <w:p>
      <w:pPr/>
      <w:r>
        <w:t>Activo derivado. Una nueva cuenta, canal, perfil, sitio web, aplicación, plataforma, comunidad, marca, producto tecnológico o infraestructura comercial creada durante la vigencia o dentro de los diez (10) años siguientes al retiro se considerará derivada únicamente cuando exista evidencia objetiva de migración material de audiencia, reutilización de contenidos o métricas, promoción desde canales del Proyecto, uso de bases de datos, continuidad de patrocinadores, aprovechamiento de propiedad intelectual o utilización sustancial del goodwill. El solo uso del nombre civil de Felipe, su imagen, profesión, conocimientos o fama personal no crea esta presunción.</w:t>
      </w:r>
    </w:p>
    <w:p>
      <w:pPr/>
      <w:r>
        <w:t>Los ingresos netos atribuibles a un activo derivado estarán sujetos a una participación económica gradual a favor de la sociedad: veinte por ciento (20 %) durante los años 1 a 3; quince por ciento (15 %) durante los años 4 a 6; y diez por ciento (10 %) durante los años 7 a 10, contados desde el retiro. Si existe Buy-Out pendiente, prevalecerá el mecanismo de pago del saldo hasta su cancelación total. La atribución se determinará mediante trazabilidad comercial y, ante desacuerdo, por perito independiente. No habrá doble cobro por un mismo ingreso o activo.</w:t>
      </w:r>
    </w:p>
    <w:p>
      <w:pPr>
        <w:keepLines w:val="0"/>
      </w:pPr>
      <w:r>
        <w:t>No habrá responsabilidad cuando la limitación sea causada por la plataforma, fraude externo o medida legítima de seguridad, siempre que exista información oportuna, cooperación y ausencia de aprovechamiento unilateral.</w:t>
      </w:r>
    </w:p>
    <w:p>
      <w:pPr>
        <w:pStyle w:val="Heading1"/>
      </w:pPr>
      <w:r>
        <w:t>TÍTULO V — PATROCINIOS, CURSOS Y NUEVOS NEGOCIOS</w:t>
      </w:r>
    </w:p>
    <w:p>
      <w:pPr>
        <w:pStyle w:val="Clause"/>
      </w:pPr>
      <w:r>
        <w:t>CLÁUSULA 17. CARTERA, PATROCINADORES, CLIENTES Y OPORTUNIDADES COMERCIALES</w:t>
      </w:r>
    </w:p>
    <w:p>
      <w:pPr>
        <w:keepLines w:val="0"/>
      </w:pPr>
      <w:r>
        <w:t>Los contratos celebrados individualmente antes de esta firma se respetarán frente a patrocinadores, clientes y terceros.</w:t>
      </w:r>
    </w:p>
    <w:p>
      <w:pPr>
        <w:keepLines w:val="0"/>
      </w:pPr>
      <w:r>
        <w:t>Entre Andrés y Felipe, este acuerdo determinará la naturaleza económica cuando la relación haya utilizado sustancialmente redes, audiencia, contenido, producción, métricas, activos, estrategia, inversión, negociación o goodwill de FELIPEGIL360.</w:t>
      </w:r>
    </w:p>
    <w:p>
      <w:pPr>
        <w:keepLines w:val="0"/>
      </w:pPr>
      <w:r>
        <w:t>La firma, facturación o recepción personal del pago no demuestra propiedad económica exclusiva. Ambas partes informarán de buena fe los contratos, canjes, renovaciones, valores, entregables, contactos y exclusividades relacionados con el Proyecto.</w:t>
      </w:r>
    </w:p>
    <w:p>
      <w:pPr/>
      <w:r>
        <w:t>No desvío y continuidad comercial. Durante la vigencia y los diez (10) años posteriores al retiro, cuando una parte celebre directamente negocios con un patrocinador, cliente o aliado que haya tenido relación material con el Proyecto durante los veinticuatro (24) meses anteriores al retiro, reconocerá a la sociedad una participación sobre el ingreso neto efectivamente recibido: veinte por ciento (20 %) durante los años 1 a 3; quince por ciento (15 %) durante los años 4 a 6; y diez por ciento (10 %) durante los años 7 a 10. No se aplicará cuando se demuestre que la nueva relación surgió de manera independiente y sin uso de información, negociación, reputación, contactos o activos empresariales.</w:t>
      </w:r>
    </w:p>
    <w:p>
      <w:pPr/>
      <w:r>
        <w:t>La regla no impide competir ni trabajar. Protege únicamente el valor de originación, negociación y mantenimiento de la cartera empresarial y no se aplicará a relaciones personales o profesionales anteriores debidamente demostradas.</w:t>
      </w:r>
    </w:p>
    <w:p>
      <w:pPr>
        <w:pStyle w:val="Clause"/>
      </w:pPr>
      <w:r>
        <w:t>CLÁUSULA 18. CONTRATOS FUTUROS Y TRANSICIÓN</w:t>
      </w:r>
    </w:p>
    <w:p>
      <w:pPr>
        <w:keepLines w:val="0"/>
      </w:pPr>
      <w:r>
        <w:t>Los nuevos patrocinios, clientes, licencias, canales, productos o negocios materiales deberán aprobarse conforme a las competencias, registrarse y estructurarse sin atribuir a una sola parte todo el valor empresarial ni impedir la transición a la SAS.</w:t>
      </w:r>
    </w:p>
    <w:p>
      <w:pPr>
        <w:keepLines w:val="0"/>
      </w:pPr>
      <w:r>
        <w:t>Después de constituida la SAS, se procurará la cesión, modificación, renovación o sustitución de los contratos vinculados al ecosistema, cuando sea jurídicamente posible y el tercero lo acepte.</w:t>
      </w:r>
    </w:p>
    <w:p>
      <w:pPr>
        <w:pStyle w:val="Clause"/>
      </w:pPr>
      <w:r>
        <w:t>CLÁUSULA 19. NUEVOS NEGOCIOS, PRIMERA OPORTUNIDAD EMPRESARIAL Y USO DEL GOODWILL</w:t>
      </w:r>
    </w:p>
    <w:p>
      <w:pPr>
        <w:keepLines w:val="0"/>
      </w:pPr>
      <w:r>
        <w:t>Los conocimientos, actividades, clientes y proyectos históricos verdaderamente independientes de cada parte continúan siendo personales.</w:t>
      </w:r>
    </w:p>
    <w:p>
      <w:pPr>
        <w:keepLines w:val="0"/>
      </w:pPr>
      <w:r>
        <w:t>Una nueva actividad de automovilismo, conducción, simulación, creación de contenido, medios, educación, asesoría, tecnología, entretenimiento, software, plataformas digitales, licenciamiento, comercio electrónico, productos, repuestos, merchandising o servicios análogos se presumirá vinculada al Proyecto cuando utilice materialmente FELIPEGIL360, sus redes, audiencia, métricas, patrocinadores, producción, contactos, estrategia, recursos, marca, propiedad intelectual o goodwill.</w:t>
      </w:r>
    </w:p>
    <w:p>
      <w:pPr>
        <w:keepLines w:val="0"/>
      </w:pPr>
      <w:r>
        <w:t>La presunción podrá desvirtuarse con aviso previo y evidencia de origen, financiación, promoción y ejecución independiente. La objeción deberá ser motivada y ninguna parte tendrá veto arbitrario sobre actividades personales legítimas.</w:t>
      </w:r>
    </w:p>
    <w:p>
      <w:pPr>
        <w:keepLines w:val="0"/>
      </w:pPr>
      <w:r>
        <w:t>Primera oportunidad empresarial. Antes de desarrollar por fuera del Proyecto un nuevo negocio material relacionado con su objeto, la parte promotora lo presentará a la sociedad mediante una ficha breve que incluya producto, inversión, activos del ecosistema que pretende utilizar, responsabilidades, presupuesto y distribución propuesta. La sociedad tendrá quince (15) días hábiles para aceptar, proponer ajustes o declinar. Esta regla constituye un procedimiento interno de originación y no una prohibición general de trabajar ni un pacto comercial de preferencia indefinido.</w:t>
      </w:r>
    </w:p>
    <w:p>
      <w:pPr/>
      <w:r>
        <w:t>Si la sociedad acepta, las partes documentarán presupuesto, propiedad intelectual, aportes, riesgos y distribución económica. Si declina o guarda silencio, la parte promotora podrá ejecutar el negocio por su cuenta, respetando la confidencialidad, la cartera y los activos empresariales.</w:t>
      </w:r>
    </w:p>
    <w:p>
      <w:pPr/>
      <w:r>
        <w:t>Uso independiente del goodwill compartido. Aunque la sociedad decline participar, si durante la vigencia o dentro de los diez (10) años siguientes al retiro una actividad utiliza materialmente activos empresariales, se reconocerá a la sociedad una regalía sobre el ingreso neto efectivamente recibido y atribuible a dicho uso: veinte por ciento (20 %) durante los años 1 a 3; quince por ciento (15 %) durante los años 4 a 6; y diez por ciento (10 %) durante los años 7 a 10.</w:t>
      </w:r>
    </w:p>
    <w:p>
      <w:pPr/>
      <w:r>
        <w:t>La regalía no se causará por el solo ejercicio de conocimientos, imagen, profesión, experiencia, capital propio o contactos personales anteriores. Cuando exista mezcla de recursos, solo se reconocerá la proporción empresarial determinada por acuerdo o perito. La regalía terminará antes si cesa de manera verificable el uso de activos empresariales o si el Buy-Out incluye y paga expresamente todo el valor futuro correspondiente, evitando doble contabilización.</w:t>
      </w:r>
    </w:p>
    <w:p>
      <w:pPr>
        <w:pStyle w:val="Clause"/>
      </w:pPr>
      <w:r>
        <w:t>CLÁUSULA 20. PRODUCTOS Y COMERCIO</w:t>
      </w:r>
    </w:p>
    <w:p>
      <w:pPr>
        <w:keepLines w:val="0"/>
      </w:pPr>
      <w:r>
        <w:t>La SAS podrá desarrollar, directamente o mediante alianzas, actividades de medios, entretenimiento, tecnología, software, plataformas propias, comercio electrónico, licenciamiento, propiedad intelectual, formación, eventos, productos físicos o digitales, merchandising, repuestos, simuladores, servicios y demás líneas relacionadas o complementarias con el ecosistema. Antes de producir deberán aprobarse presupuesto, proveedor, derechos de imagen, marca o tecnología, precio, margen, inventario, licencias y responsabilidades.</w:t>
      </w:r>
    </w:p>
    <w:p>
      <w:pPr>
        <w:keepLines w:val="0"/>
      </w:pPr>
      <w:r>
        <w:t>Los ingresos se registrarán en la contabilidad de la SAS y se distribuirán sobre utilidad neta.</w:t>
      </w:r>
    </w:p>
    <w:p>
      <w:pPr>
        <w:pStyle w:val="Heading1"/>
      </w:pPr>
      <w:r>
        <w:t>TÍTULO VI — SAS, RETIRO, VALORACIÓN Y SOLUCIÓN DE CONFLICTOS</w:t>
      </w:r>
    </w:p>
    <w:p>
      <w:pPr>
        <w:pStyle w:val="Clause"/>
      </w:pPr>
      <w:r>
        <w:t>CLÁUSULA 21. CONSTITUCIÓN DE INVERSIONES RACING 360 S.A.S.</w:t>
      </w:r>
    </w:p>
    <w:p>
      <w:pPr>
        <w:keepLines w:val="0"/>
      </w:pPr>
      <w:r>
        <w:t>Las partes se obligan a constituir e inscribir INVERSIONES RACING 360 S.A.S., o una variante registral que conserve RACING 360, conforme a la Ley 1258 de 2008.</w:t>
      </w:r>
    </w:p>
    <w:p>
      <w:pPr>
        <w:keepLines w:val="0"/>
      </w:pPr>
      <w:r>
        <w:t>La estructura inicial será 65 % Andrés y 35 % Felipe. Andrés será representante legal inicial, salvo acuerdo escrito.</w:t>
      </w:r>
    </w:p>
    <w:p>
      <w:pPr>
        <w:keepLines w:val="0"/>
      </w:pPr>
      <w:r>
        <w:t>El capital, número de acciones, clases, valor nominal, CIIU, domicilio exacto y activos aportados o licenciados se definirán en estatutos y acuerdo de accionistas.</w:t>
      </w:r>
    </w:p>
    <w:p>
      <w:pPr>
        <w:keepLines w:val="0"/>
      </w:pPr>
      <w:r>
        <w:t>El acuerdo de accionistas deberá regular voto, transferencia, preferencia, Buy-Out, deadlock, retiro, confidencialidad y demás asuntos lícitos, conforme al artículo 24 de la Ley 1258 de 2008.</w:t>
      </w:r>
    </w:p>
    <w:tbl>
      <w:tblPr>
        <w:tblStyle w:val="TableGrid"/>
        <w:tblW w:type="auto" w:w="0"/>
        <w:jc w:val="center"/>
        <w:tblLook w:firstColumn="1" w:firstRow="1" w:lastColumn="0" w:lastRow="0" w:noHBand="0" w:noVBand="1" w:val="04A0"/>
      </w:tblPr>
      <w:tblGrid>
        <w:gridCol w:w="4896"/>
        <w:gridCol w:w="4896"/>
      </w:tblGrid>
      <w:tr>
        <w:tc>
          <w:tcPr>
            <w:tcW w:type="dxa" w:w="6480"/>
            <w:shd w:fill="1C304A"/>
            <w:vAlign w:val="center"/>
          </w:tcPr>
          <w:p>
            <w:pPr>
              <w:spacing w:after="0"/>
            </w:pPr>
            <w:r/>
            <w:r>
              <w:rPr>
                <w:rFonts w:ascii="Aptos" w:hAnsi="Aptos"/>
                <w:b/>
                <w:color w:val="FFFFFF"/>
                <w:sz w:val="17"/>
              </w:rPr>
              <w:t>Actividad</w:t>
            </w:r>
          </w:p>
        </w:tc>
        <w:tc>
          <w:tcPr>
            <w:tcW w:type="dxa" w:w="2880"/>
            <w:shd w:fill="1C304A"/>
            <w:vAlign w:val="center"/>
          </w:tcPr>
          <w:p>
            <w:pPr>
              <w:spacing w:after="0"/>
            </w:pPr>
            <w:r/>
            <w:r>
              <w:rPr>
                <w:rFonts w:ascii="Aptos" w:hAnsi="Aptos"/>
                <w:b/>
                <w:color w:val="FFFFFF"/>
                <w:sz w:val="17"/>
              </w:rPr>
              <w:t>Plazo máximo desde la firma</w:t>
            </w:r>
          </w:p>
        </w:tc>
      </w:tr>
      <w:tr>
        <w:tc>
          <w:tcPr>
            <w:tcW w:type="dxa" w:w="6480"/>
            <w:vAlign w:val="center"/>
          </w:tcPr>
          <w:p>
            <w:pPr>
              <w:spacing w:after="0"/>
            </w:pPr>
            <w:r/>
            <w:r>
              <w:rPr>
                <w:rFonts w:ascii="Aptos" w:hAnsi="Aptos"/>
                <w:b w:val="0"/>
                <w:sz w:val="17"/>
              </w:rPr>
              <w:t>Selección de contador y asesor</w:t>
            </w:r>
          </w:p>
        </w:tc>
        <w:tc>
          <w:tcPr>
            <w:tcW w:type="dxa" w:w="2880"/>
            <w:vAlign w:val="center"/>
          </w:tcPr>
          <w:p>
            <w:pPr>
              <w:spacing w:after="0"/>
            </w:pPr>
            <w:r/>
            <w:r>
              <w:rPr>
                <w:rFonts w:ascii="Aptos" w:hAnsi="Aptos"/>
                <w:b w:val="0"/>
                <w:sz w:val="17"/>
              </w:rPr>
              <w:t>15 días</w:t>
            </w:r>
          </w:p>
        </w:tc>
      </w:tr>
      <w:tr>
        <w:tc>
          <w:tcPr>
            <w:tcW w:type="dxa" w:w="6480"/>
            <w:vAlign w:val="center"/>
            <w:shd w:fill="F5F7FA"/>
          </w:tcPr>
          <w:p>
            <w:pPr>
              <w:spacing w:after="0"/>
            </w:pPr>
            <w:r/>
            <w:r>
              <w:rPr>
                <w:rFonts w:ascii="Aptos" w:hAnsi="Aptos"/>
                <w:b w:val="0"/>
                <w:sz w:val="17"/>
              </w:rPr>
              <w:t>Matriz de activos, contratos y obligaciones</w:t>
            </w:r>
          </w:p>
        </w:tc>
        <w:tc>
          <w:tcPr>
            <w:tcW w:type="dxa" w:w="2880"/>
            <w:vAlign w:val="center"/>
            <w:shd w:fill="F5F7FA"/>
          </w:tcPr>
          <w:p>
            <w:pPr>
              <w:spacing w:after="0"/>
            </w:pPr>
            <w:r/>
            <w:r>
              <w:rPr>
                <w:rFonts w:ascii="Aptos" w:hAnsi="Aptos"/>
                <w:b w:val="0"/>
                <w:sz w:val="17"/>
              </w:rPr>
              <w:t>30 días</w:t>
            </w:r>
          </w:p>
        </w:tc>
      </w:tr>
      <w:tr>
        <w:tc>
          <w:tcPr>
            <w:tcW w:type="dxa" w:w="6480"/>
            <w:vAlign w:val="center"/>
          </w:tcPr>
          <w:p>
            <w:pPr>
              <w:spacing w:after="0"/>
            </w:pPr>
            <w:r/>
            <w:r>
              <w:rPr>
                <w:rFonts w:ascii="Aptos" w:hAnsi="Aptos"/>
                <w:b w:val="0"/>
                <w:sz w:val="17"/>
              </w:rPr>
              <w:t>Estatutos y acuerdo de accionistas</w:t>
            </w:r>
          </w:p>
        </w:tc>
        <w:tc>
          <w:tcPr>
            <w:tcW w:type="dxa" w:w="2880"/>
            <w:vAlign w:val="center"/>
          </w:tcPr>
          <w:p>
            <w:pPr>
              <w:spacing w:after="0"/>
            </w:pPr>
            <w:r/>
            <w:r>
              <w:rPr>
                <w:rFonts w:ascii="Aptos" w:hAnsi="Aptos"/>
                <w:b w:val="0"/>
                <w:sz w:val="17"/>
              </w:rPr>
              <w:t>60 días</w:t>
            </w:r>
          </w:p>
        </w:tc>
      </w:tr>
      <w:tr>
        <w:tc>
          <w:tcPr>
            <w:tcW w:type="dxa" w:w="6480"/>
            <w:vAlign w:val="center"/>
            <w:shd w:fill="F5F7FA"/>
          </w:tcPr>
          <w:p>
            <w:pPr>
              <w:spacing w:after="0"/>
            </w:pPr>
            <w:r/>
            <w:r>
              <w:rPr>
                <w:rFonts w:ascii="Aptos" w:hAnsi="Aptos"/>
                <w:b w:val="0"/>
                <w:sz w:val="17"/>
              </w:rPr>
              <w:t>Firma del documento constitutivo</w:t>
            </w:r>
          </w:p>
        </w:tc>
        <w:tc>
          <w:tcPr>
            <w:tcW w:type="dxa" w:w="2880"/>
            <w:vAlign w:val="center"/>
            <w:shd w:fill="F5F7FA"/>
          </w:tcPr>
          <w:p>
            <w:pPr>
              <w:spacing w:after="0"/>
            </w:pPr>
            <w:r/>
            <w:r>
              <w:rPr>
                <w:rFonts w:ascii="Aptos" w:hAnsi="Aptos"/>
                <w:b w:val="0"/>
                <w:sz w:val="17"/>
              </w:rPr>
              <w:t>90 días</w:t>
            </w:r>
          </w:p>
        </w:tc>
      </w:tr>
      <w:tr>
        <w:tc>
          <w:tcPr>
            <w:tcW w:type="dxa" w:w="6480"/>
            <w:vAlign w:val="center"/>
          </w:tcPr>
          <w:p>
            <w:pPr>
              <w:spacing w:after="0"/>
            </w:pPr>
            <w:r/>
            <w:r>
              <w:rPr>
                <w:rFonts w:ascii="Aptos" w:hAnsi="Aptos"/>
                <w:b w:val="0"/>
                <w:sz w:val="17"/>
              </w:rPr>
              <w:t>Radicación e inscripción</w:t>
            </w:r>
          </w:p>
        </w:tc>
        <w:tc>
          <w:tcPr>
            <w:tcW w:type="dxa" w:w="2880"/>
            <w:vAlign w:val="center"/>
          </w:tcPr>
          <w:p>
            <w:pPr>
              <w:spacing w:after="0"/>
            </w:pPr>
            <w:r/>
            <w:r>
              <w:rPr>
                <w:rFonts w:ascii="Aptos" w:hAnsi="Aptos"/>
                <w:b w:val="0"/>
                <w:sz w:val="17"/>
              </w:rPr>
              <w:t>120 días</w:t>
            </w:r>
          </w:p>
        </w:tc>
      </w:tr>
      <w:tr>
        <w:tc>
          <w:tcPr>
            <w:tcW w:type="dxa" w:w="4896"/>
          </w:tcPr>
          <w:p>
            <w:r>
              <w:t>Acta de conciliación y fórmula financiera del Yacar</w:t>
            </w:r>
          </w:p>
        </w:tc>
        <w:tc>
          <w:tcPr>
            <w:tcW w:type="dxa" w:w="4896"/>
          </w:tcPr>
          <w:p>
            <w:r>
              <w:t>30 días</w:t>
            </w:r>
          </w:p>
        </w:tc>
      </w:tr>
    </w:tbl>
    <w:p/>
    <w:p>
      <w:pPr>
        <w:pStyle w:val="Clause"/>
      </w:pPr>
      <w:r>
        <w:t>CLÁUSULA 22. RETIRO Y TRANSICIÓN</w:t>
      </w:r>
    </w:p>
    <w:p>
      <w:pPr>
        <w:keepLines w:val="0"/>
      </w:pPr>
      <w:r>
        <w:t>Ninguna parte queda obligada indefinidamente a prestar servicios personalísimos. Quien desee retirarse deberá avisar por escrito y cumplir una transición ordenada.</w:t>
      </w:r>
    </w:p>
    <w:p>
      <w:pPr>
        <w:keepLines w:val="0"/>
      </w:pPr>
      <w:r>
        <w:t>El retiro no extingue aportes, deudas, CEF, propiedad intelectual, confidencialidad, contratos, derechos económicos ni obligaciones con terceros.</w:t>
      </w:r>
    </w:p>
    <w:p>
      <w:pPr>
        <w:keepLines w:val="0"/>
      </w:pPr>
      <w:r>
        <w:t>La transición comprenderá entrega de información, accesos, contratos, bases de datos y activos; cumplimiento o transferencia de compromisos; conservación de contenidos; inventario; identificación de audiencia, cartera y goodwill; valoración y propuesta de Buy-Out, reorganización o liquidación.</w:t>
      </w:r>
    </w:p>
    <w:p>
      <w:pPr/>
      <w:r>
        <w:t>SALIDA COORDINADA — GOOD LEAVER. Se considerará salida coordinada aquella originada en acuerdo mutuo, salud, incapacidad, fuerza mayor, cambio personal informado o retiro voluntario con aviso y transición completa. El Good Leaver conservará los derechos económicos ya causados y recibirá el valor que corresponda mediante Buy-Out, continuidad pasiva acordada o liquidación.</w:t>
      </w:r>
    </w:p>
    <w:p>
      <w:pPr/>
      <w:r>
        <w:t>SALIDA INCUMPLIDA — BAD LEAVER. Solo existirá cuando haya abandono objetivo sin transición, fraude, ocultamiento deliberado, desvío de activos, cartera o audiencia, competencia desleal o incumplimiento grave no subsanado. No produce pérdida automática de acciones o aportes consolidados; activa suspensión temporal de distribuciones, valoración obligatoria, compensación de créditos líquidos, prioridad de recuperación del CEF y aplicación de las reglas sobre activos derivados y goodwill.</w:t>
      </w:r>
    </w:p>
    <w:p>
      <w:pPr>
        <w:pStyle w:val="Clause"/>
      </w:pPr>
      <w:r>
        <w:t>CLÁUSULA 23. VALORACIÓN Y BUY-OUT</w:t>
      </w:r>
    </w:p>
    <w:p>
      <w:pPr>
        <w:keepLines w:val="0"/>
      </w:pPr>
      <w:r>
        <w:t>La valoración considerará activos físicos y digitales, deudas, CEF, ingresos históricos, cartera, contratos, canales, contenidos, audiencia, bases de datos, marcas, comunidad, goodwill, capacidad razonable de monetización futura y riesgos. Las proyecciones deberán ser prudentes, verificables y descontadas por riesgo, sin doble contabilización.</w:t>
      </w:r>
    </w:p>
    <w:p>
      <w:pPr/>
      <w:r>
        <w:t>Valoración preventiva. Cada veinticuatro (24) meses, o cuando exista una ronda de inversión, oferta de compra, retiro o cambio material del negocio, las partes procurarán actualizar una valoración indicativa del Proyecto. Esta valoración no obliga a vender, pero servirá como referencia para seguros, Buy-Out, sucesión, negociación con inversionistas y prevención de conflictos.</w:t>
      </w:r>
    </w:p>
    <w:p>
      <w:pPr>
        <w:keepLines w:val="0"/>
      </w:pPr>
      <w:r>
        <w:t>Si las partes no acuerdan el valor, designarán un perito independiente. A falta de acuerdo sobre el perito, cada parte propondrá uno y ambos escogerán un tercero.</w:t>
      </w:r>
    </w:p>
    <w:p>
      <w:pPr>
        <w:keepLines w:val="0"/>
      </w:pPr>
      <w:r>
        <w:t>El Buy-Out requerirá precio, forma de pago, garantías, transferencia y paz y salvo parcial o total según corresponda. Si ninguna parte puede comprar, se buscará venta, reorganización o liquidación.</w:t>
      </w:r>
    </w:p>
    <w:p>
      <w:pPr/>
      <w:r>
        <w:t>En la liquidación del Buy-Out podrán compensarse únicamente créditos recíprocos claros, exigibles, soportados y relacionados con el Proyecto, incluidos CEF conciliado, costos de transición, saldos del Yacar y valoraciones de activos retenidos. Si existe controversia, la suma discutida se reservará hasta conciliación, peritaje o decisión competente.</w:t>
      </w:r>
    </w:p>
    <w:p>
      <w:pPr/>
      <w:r>
        <w:t>El plan de pago podrá incluir plazo, indexación o interés permitido, reportes, auditoría limitada, cuenta receptora, garantías razonables y vencimiento anticipado por ocultamiento deliberado o mora reiterada. Mientras exista saldo, los ingresos netos atribuibles a los activos, cartera, canales o goodwill adjudicados a la parte compradora servirán como fuente preferente de pago, en el porcentaje económico pactado o en el que acuerden las partes. Ninguna garantía podrá exceder el saldo pendiente ni permitir doble recuperación.</w:t>
      </w:r>
    </w:p>
    <w:p>
      <w:pPr/>
      <w:r>
        <w:t>Reserva de continuidad. Cuando el flujo lo permita, la sociedad podrá constituir una reserva destinada a obligaciones iniciales, contingencias, seguros, reposición de activos y futuros Buy-Out. La reserva no será distribuible mientras exista la finalidad aprobada y deberá aparecer separadamente en la información financiera.</w:t>
      </w:r>
    </w:p>
    <w:p>
      <w:pPr>
        <w:pStyle w:val="Clause"/>
      </w:pPr>
      <w:r>
        <w:t>CLÁUSULA 23A. INCAPACIDAD, FALLECIMIENTO Y CONTINUIDAD</w:t>
      </w:r>
    </w:p>
    <w:p>
      <w:pPr/>
      <w:r>
        <w:t>La incapacidad prolongada o permanente y el fallecimiento se considerarán eventos de Good Leaver, no incumplimientos. Los herederos o representantes recibirán los derechos patrimoniales consolidados, pero no asumirán automáticamente funciones personales, de imagen, conducción o creación de contenido.</w:t>
      </w:r>
    </w:p>
    <w:p>
      <w:pPr/>
      <w:r>
        <w:t>La sociedad o el otro fundador tendrán primera opción para adquirir la participación del fundador afectado conforme a una valoración independiente y un plan de pago razonable. Mientras se define la compra, los herederos tendrán derechos económicos y de información, pero las decisiones técnicas y operativas continuarán bajo los órganos societarios.</w:t>
      </w:r>
    </w:p>
    <w:p>
      <w:pPr/>
      <w:r>
        <w:t>Cuando sea financieramente viable, la sociedad evaluará contratar seguros de vida, incapacidad o persona clave para financiar la continuidad y un eventual Buy-Out, sin que su ausencia invalide los derechos previstos en este acuerdo.</w:t>
      </w:r>
    </w:p>
    <w:p>
      <w:pPr>
        <w:pStyle w:val="Clause"/>
      </w:pPr>
      <w:r>
        <w:t>CLÁUSULA 23B. CONFIDENCIALIDAD Y USO RESTRINGIDO DE INFORMACIÓN</w:t>
      </w:r>
    </w:p>
    <w:p>
      <w:pPr/>
      <w:r>
        <w:t>Se considera información confidencial, siempre que no sea pública legítimamente: el contenido económico no divulgado de este acuerdo; saldos y soportes del CEF; presupuestos; estados financieros; métricas internas; estrategias de contenido, monetización y crecimiento; algoritmos, software y procesos propios; credenciales y arquitectura tecnológica; datos personales; propuestas, tarifas, contactos y condiciones de patrocinadores, clientes, proveedores e inversionistas; y cualquier información identificada razonablemente como reservada.</w:t>
      </w:r>
    </w:p>
    <w:p>
      <w:pPr/>
      <w:r>
        <w:t>Ninguna parte podrá revelar, copiar o utilizar la información confidencial para fines ajenos al Proyecto sin autorización escrita. Podrá compartirse con abogados, contadores, auditores, aseguradores, inversionistas potenciales o autoridades cuando sea necesario, siempre que exista deber legal o contractual de reserva, o cuando medie requerimiento judicial o administrativo.</w:t>
      </w:r>
    </w:p>
    <w:p>
      <w:pPr/>
      <w:r>
        <w:t>No será confidencial la información que la parte receptora demuestre que ya conocía legítimamente, que se hizo pública sin incumplimiento, que recibió válidamente de un tercero o que desarrolló de forma independiente. La obligación sobrevivirá durante cinco (5) años después de la terminación y, respecto de secretos empresariales, datos personales, credenciales y código fuente no divulgado, mientras conserven legalmente su carácter reservado.</w:t>
      </w:r>
    </w:p>
    <w:p>
      <w:pPr/>
      <w:r>
        <w:t>Antes de divulgar información por obligación legal, la parte requerida deberá informar a la otra cuando sea jurídicamente posible y limitar la entrega a lo estrictamente solicitado. El incumplimiento se evaluará según la gravedad, alcance, intención, posibilidad de corrección y daño probado.</w:t>
      </w:r>
    </w:p>
    <w:p>
      <w:pPr>
        <w:pStyle w:val="Clause"/>
      </w:pPr>
      <w:r>
        <w:t>CLÁUSULA 24. INCUMPLIMIENTO Y RESPONSABILIDAD</w:t>
      </w:r>
    </w:p>
    <w:p>
      <w:pPr>
        <w:keepLines w:val="0"/>
      </w:pPr>
      <w:r>
        <w:t>No hay incumplimiento por fracaso empresarial de buena fe, pérdida de audiencia, campaña fallida, decisión razonable sin resultado, fuerza mayor o caso fortuito.</w:t>
      </w:r>
    </w:p>
    <w:p>
      <w:pPr>
        <w:keepLines w:val="0"/>
      </w:pPr>
      <w:r>
        <w:t>Constituyen incumplimiento grave: fraude, falsedad, ocultamiento deliberado, apropiación o desvío de ingresos, patrocinadores, activos o comunidad; destrucción o retención de activos esenciales; competencia desleal; violación grave de confidencialidad; bloqueo deliberado de la SAS; abandono sin transición que cause daño.</w:t>
      </w:r>
    </w:p>
    <w:p>
      <w:pPr>
        <w:keepLines w:val="0"/>
      </w:pPr>
      <w:r>
        <w:t>Antes de sancionar se requerirá por escrito, se permitirá contradicción y, cuando sea posible, un plazo de diez días hábiles para subsanar.</w:t>
      </w:r>
    </w:p>
    <w:p>
      <w:pPr>
        <w:keepLines w:val="0"/>
      </w:pPr>
      <w:r>
        <w:t>La reparación será proporcional al daño probado, descontará recuperaciones y no permitirá doble cobro. Las compensaciones, prioridades de recuperación, regalías y Buy-Out previstos en este acuerdo son mecanismos de equilibrio económico, no autorizan apropiaciones automáticas y se aplicarán con información, contradicción y soporte verificable.</w:t>
      </w:r>
    </w:p>
    <w:p>
      <w:pPr/>
      <w:r>
        <w:t>Restitución del beneficio apropiado. Cuando una parte obtenga y conserve un beneficio empresarial identificable proveniente de aportes, activos o trabajo de la otra sin aplicar la distribución, licencia, Buy-Out o compensación pactada, deberá restituir el valor efectivamente apropiado hasta el límite del enriquecimiento demostrado. Esta regla es subsidiaria: no reemplaza las obligaciones y mecanismos específicos del contrato ni permite duplicar indemnizaciones.</w:t>
      </w:r>
    </w:p>
    <w:p>
      <w:pPr/>
      <w:r>
        <w:t>Regla anti-elusión. Ninguna parte podrá realizar por interpuesta persona, familiar, sociedad vinculada, nuevo canal, nueva marca, contrato simulado o cambio formal de titular una conducta que, realizada directamente, infringiría este acuerdo. La consecuencia se determinará por la realidad económica y el uso efectivo de los activos, no únicamente por el nombre o titular registral.</w:t>
      </w:r>
    </w:p>
    <w:p>
      <w:pPr>
        <w:pStyle w:val="Clause"/>
      </w:pPr>
      <w:r>
        <w:t>CLÁUSULA 24A. PROTECCIÓN DE LOS FRUTOS ECONÓMICOS Y PROHIBICIÓN DE FRUSTRAR EL PROPÓSITO</w:t>
      </w:r>
    </w:p>
    <w:p>
      <w:pPr/>
      <w:r>
        <w:t>Ninguna parte podrá ejercer formalmente un derecho, utilizar una omisión contractual o alterar la forma de una operación con el propósito o efecto principal de privar a la otra de los beneficios económicos que razonablemente le corresponden conforme a este acuerdo.</w:t>
      </w:r>
    </w:p>
    <w:p>
      <w:pPr/>
      <w:r>
        <w:t>Se consideran, entre otros, actos de frustración: trasladar ingresos a terceros o sociedades vinculadas; sustituir una marca, canal o contrato manteniendo la misma realidad económica; dividir artificialmente operaciones; aplazar cobros o anticipar costos sin razón empresarial; ocultar conversiones, canjes o contraprestaciones; o cerrar una unidad para reabrirla sustancialmente igual por fuera del Proyecto.</w:t>
      </w:r>
    </w:p>
    <w:p>
      <w:pPr/>
      <w:r>
        <w:t>La consecuencia no será una sanción automática, sino la reconstrucción de la realidad económica: el ingreso, activo, oportunidad o beneficio se tratará como habría correspondido si la maniobra no hubiese ocurrido, sin perjuicio de los daños probados cuando exista dolo, mala fe, abuso o culpa grave.</w:t>
      </w:r>
    </w:p>
    <w:p>
      <w:pPr/>
      <w:r>
        <w:t>Esta regla protege el derecho de ambas partes a recibir los frutos del acuerdo y se aplicará de forma recíproca, proporcional y compatible con la libertad legítima de trabajar, competir y desarrollar actividades verdaderamente independientes.</w:t>
      </w:r>
    </w:p>
    <w:p>
      <w:pPr>
        <w:pStyle w:val="Clause"/>
      </w:pPr>
      <w:r>
        <w:t>CLÁUSULA 25. SOLUCIÓN DE CONTROVERSIAS</w:t>
      </w:r>
    </w:p>
    <w:p>
      <w:pPr>
        <w:keepLines w:val="0"/>
      </w:pPr>
      <w:r>
        <w:t>Las partes intentarán negociación directa durante quince días hábiles y luego conciliación en un centro autorizado.</w:t>
      </w:r>
    </w:p>
    <w:p>
      <w:pPr>
        <w:keepLines w:val="0"/>
      </w:pPr>
      <w:r>
        <w:t>Mientras no exista la SAS, las controversias se someterán a los jueces competentes de Medellín, salvo pacto arbitral posterior.</w:t>
      </w:r>
    </w:p>
    <w:p>
      <w:pPr>
        <w:keepLines w:val="0"/>
      </w:pPr>
      <w:r>
        <w:t>Una vez constituida la SAS, los estatutos podrán someter conflictos societarios a arbitraje, amigable composición o a la Superintendencia de Sociedades, conforme al artículo 40 de la Ley 1258 de 2008.</w:t>
      </w:r>
    </w:p>
    <w:p>
      <w:pPr>
        <w:keepLines w:val="0"/>
      </w:pPr>
      <w:r>
        <w:t>Cualquiera podrá solicitar medidas urgentes para proteger activos, cuentas, información, contenidos, propiedad intelectual o evidencia.</w:t>
      </w:r>
    </w:p>
    <w:p>
      <w:pPr>
        <w:pStyle w:val="Heading1"/>
      </w:pPr>
      <w:r>
        <w:t>TÍTULO VII — CLÁUSULAS DE CIERRE</w:t>
      </w:r>
    </w:p>
    <w:p>
      <w:pPr>
        <w:pStyle w:val="Clause"/>
      </w:pPr>
      <w:r>
        <w:t>CLÁUSULA 26. INTEGRIDAD, MODIFICACIONES Y PREVALENCIA</w:t>
      </w:r>
    </w:p>
    <w:p>
      <w:pPr>
        <w:keepLines w:val="0"/>
      </w:pPr>
      <w:r>
        <w:t>Este documento y sus cinco anexos contienen el acuerdo integral vigente sobre las materias aquí reguladas. Las conversaciones, mensajes, correos, propuestas y borradores anteriores no podrán utilizarse para modificar, ampliar o contradecir una regla clara del texto final, salvo incorporación expresa mediante otrosí.</w:t>
      </w:r>
    </w:p>
    <w:p>
      <w:pPr/>
      <w:r>
        <w:t>La evidencia externa sí podrá utilizarse para probar hechos históricos, pagos, aportes, ejecución, titularidad, fraude, error, contexto de una expresión ambigua o cumplimiento de obligaciones, pero no para sustituir una asignación económica claramente pactada.</w:t>
      </w:r>
    </w:p>
    <w:p>
      <w:pPr/>
      <w:r>
        <w:t>Redacción y negociación conjunta. Las partes reconocen que el acuerdo fue construido mediante múltiples versiones, preguntas, observaciones y ajustes; que ambas pudieron proponer redacciones y salvedades; y que la versión final representa una decisión común. Por ello, una ambigüedad no deberá resolverse automáticamente a favor o en contra de una parte por el solo hecho de que esta haya preparado el primer borrador, financiado la revisión o propuesto una frase.</w:t>
      </w:r>
    </w:p>
    <w:p>
      <w:pPr/>
      <w:r>
        <w:t>Toda duda se resolverá conforme a las reglas colombianas de interpretación contractual, atendiendo la intención común, el contrato en su conjunto, su aplicación práctica, la buena fe, la creación conjunta de valor y la sostenibilidad del Proyecto. La regla anterior no excluye la aplicación del artículo 1624 del Código Civil cuando se acrediten sus presupuestos, especialmente si una parte introdujo unilateralmente una ambigüedad que debió explicar.</w:t>
      </w:r>
    </w:p>
    <w:p>
      <w:pPr/>
      <w:r>
        <w:t>La documentación del proceso de negociación —versiones, comentarios, cambios aceptados, salvedades y constancias de asesoría— podrá utilizarse para demostrar que la redacción fue realmente discutida y no impuesta.</w:t>
      </w:r>
    </w:p>
    <w:p>
      <w:pPr>
        <w:keepLines w:val="0"/>
      </w:pPr>
      <w:r>
        <w:t>Toda modificación esencial deberá constar por escrito y ser aceptada por ambos. La tolerancia, silencio o práctica repetida no modifica porcentajes, propiedad, CEF, funciones, patrocinios, el tratamiento económico de los activos digitales híbridos ni las reglas de salida.</w:t>
      </w:r>
    </w:p>
    <w:p>
      <w:pPr>
        <w:keepLines w:val="0"/>
      </w:pPr>
      <w:r>
        <w:t>Ante contradicción, prevalecerá: (i) otrosí posterior; (ii) contrato principal; (iii) anexos en su orden; (iv) actas y registros; (v) comunicaciones como evidencia.</w:t>
      </w:r>
    </w:p>
    <w:p>
      <w:pPr>
        <w:pStyle w:val="Clause"/>
      </w:pPr>
      <w:r>
        <w:t>CLÁUSULA 27. BUENA FE, NO RENUNCIA Y DIVISIBILIDAD</w:t>
      </w:r>
    </w:p>
    <w:p>
      <w:pPr>
        <w:keepLines w:val="0"/>
      </w:pPr>
      <w:r>
        <w:t>La buena fe obliga a informar, cooperar, actuar con coherencia y no abusar de los derechos. La pérdida subjetiva de confianza o diferencias creativas no constituyen por sí solas causal sancionada de terminación.</w:t>
      </w:r>
    </w:p>
    <w:p>
      <w:pPr>
        <w:keepLines w:val="0"/>
      </w:pPr>
      <w:r>
        <w:t>No exigir inmediatamente un derecho no constituye renuncia. Toda renuncia deberá ser expresa, específica y escrita.</w:t>
      </w:r>
    </w:p>
    <w:p>
      <w:pPr>
        <w:keepLines w:val="0"/>
      </w:pPr>
      <w:r>
        <w:t>La invalidez de una disposición no anula las demás. Se sustituirá por una regla válida que conserve razonablemente su finalidad.</w:t>
      </w:r>
    </w:p>
    <w:p>
      <w:pPr>
        <w:pStyle w:val="Clause"/>
      </w:pPr>
      <w:r>
        <w:t>CLÁUSULA 28. LEY, DURACIÓN, RENOVACIÓN Y NOTIFICACIONES</w:t>
      </w:r>
    </w:p>
    <w:p>
      <w:pPr>
        <w:keepLines w:val="0"/>
      </w:pPr>
      <w:r>
        <w:t>El acuerdo se rige por las leyes de Colombia y tendrá vigencia desde su firma durante las Etapas 1 y 2 y durante la totalidad de la Etapa 3. La duración contractual necesaria se extenderá hasta completar los diez (10) años del Periodo Económico Maduro, sin que los años de construcción y recuperación lo reduzcan. Después podrá renovarse por periodos sucesivos de hasta diez (10) años.</w:t>
      </w:r>
    </w:p>
    <w:p>
      <w:pPr/>
      <w:r>
        <w:t>Una vez constituida la SAS, los acuerdos de accionistas se celebrarán por periodos de hasta diez (10) años, conforme al artículo 24 de la Ley 1258 de 2008. Las partes se obligan a suscribir y depositar oportunamente las renovaciones o acuerdos sucesivos necesarios para que la protección societaria cubra las Etapas 1 y 2 y los diez (10) años completos de la Etapa 3. Las restricciones estatutarias a la negociación de acciones se pactarán y renovarán dentro de los límites del artículo 13 de la misma ley.</w:t>
      </w:r>
    </w:p>
    <w:p>
      <w:pPr/>
      <w:r>
        <w:t>La sociedad podrá tener duración indefinida. El límite legal de diez años corresponde a cada acuerdo de accionistas o restricción específica, no a la existencia de la SAS ni al reconocimiento contractual de inversiones, CEF, créditos, Buy-Out, contenidos o demás derechos ya causados.</w:t>
      </w:r>
    </w:p>
    <w:p>
      <w:pPr/>
      <w:r>
        <w:t>Los derechos sobre contenidos, activos, CEF, saldos de Buy-Out, licencias, créditos, regalías, rendición de cuentas y demás derechos ya causados sobrevivirán durante el tiempo necesario para su pago o cumplimiento, aunque termine, se renueve o sea sustituido el acuerdo de accionistas.</w:t>
      </w:r>
    </w:p>
    <w:p>
      <w:pPr>
        <w:keepLines w:val="0"/>
      </w:pPr>
      <w:r>
        <w:t>Domicilio contractual: Medellín y su área metropolitana.</w:t>
      </w:r>
    </w:p>
    <w:p>
      <w:pPr>
        <w:keepLines w:val="0"/>
      </w:pPr>
      <w:r>
        <w:t>Notificaciones de Andrés: andresmejia2@gmail.com y WhatsApp 3007190514.</w:t>
      </w:r>
    </w:p>
    <w:p>
      <w:pPr>
        <w:keepLines w:val="0"/>
      </w:pPr>
      <w:r>
        <w:t>Notificaciones de Felipe: fepi1918@gmail.com y WhatsApp 3163606442.</w:t>
      </w:r>
    </w:p>
    <w:p>
      <w:pPr>
        <w:keepLines w:val="0"/>
      </w:pPr>
      <w:r>
        <w:t>Los cambios de contacto deberán informarse por escrito.</w:t>
      </w:r>
    </w:p>
    <w:p>
      <w:r>
        <w:br w:type="page"/>
      </w:r>
    </w:p>
    <w:p>
      <w:pPr>
        <w:pStyle w:val="Heading1"/>
      </w:pPr>
      <w:r>
        <w:t>ANEXOS INTEGRADOS</w:t>
      </w:r>
    </w:p>
    <w:p>
      <w:r>
        <w:t>Los siguientes anexos hacen parte del acuerdo. Se mantienen breves para evitar duplicaciones. Las evidencias detalladas se conservan en la Carpeta de Evidencias.</w:t>
      </w:r>
    </w:p>
    <w:p>
      <w:pPr>
        <w:pStyle w:val="Heading1"/>
      </w:pPr>
      <w:r>
        <w:t>ANEXO 1 — DATOS HISTÓRICOS Y ECONÓMICOS PROVISIONALES</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fill="1C304A"/>
            <w:vAlign w:val="center"/>
          </w:tcPr>
          <w:p>
            <w:pPr>
              <w:spacing w:after="0"/>
            </w:pPr>
            <w:r/>
            <w:r>
              <w:rPr>
                <w:rFonts w:ascii="Aptos" w:hAnsi="Aptos"/>
                <w:b/>
                <w:color w:val="FFFFFF"/>
                <w:sz w:val="17"/>
              </w:rPr>
              <w:t>Concepto</w:t>
            </w:r>
          </w:p>
        </w:tc>
        <w:tc>
          <w:tcPr>
            <w:tcW w:type="dxa" w:w="2880"/>
            <w:shd w:fill="1C304A"/>
            <w:vAlign w:val="center"/>
          </w:tcPr>
          <w:p>
            <w:pPr>
              <w:spacing w:after="0"/>
            </w:pPr>
            <w:r/>
            <w:r>
              <w:rPr>
                <w:rFonts w:ascii="Aptos" w:hAnsi="Aptos"/>
                <w:b/>
                <w:color w:val="FFFFFF"/>
                <w:sz w:val="17"/>
              </w:rPr>
              <w:t>Dato provisional</w:t>
            </w:r>
          </w:p>
        </w:tc>
        <w:tc>
          <w:tcPr>
            <w:tcW w:type="dxa" w:w="3888"/>
            <w:shd w:fill="1C304A"/>
            <w:vAlign w:val="center"/>
          </w:tcPr>
          <w:p>
            <w:pPr>
              <w:spacing w:after="0"/>
            </w:pPr>
            <w:r/>
            <w:r>
              <w:rPr>
                <w:rFonts w:ascii="Aptos" w:hAnsi="Aptos"/>
                <w:b/>
                <w:color w:val="FFFFFF"/>
                <w:sz w:val="17"/>
              </w:rPr>
              <w:t>Tratamiento</w:t>
            </w:r>
          </w:p>
        </w:tc>
      </w:tr>
      <w:tr>
        <w:tc>
          <w:tcPr>
            <w:tcW w:type="dxa" w:w="3024"/>
            <w:vAlign w:val="center"/>
          </w:tcPr>
          <w:p>
            <w:pPr>
              <w:spacing w:after="0"/>
            </w:pPr>
            <w:r/>
            <w:r>
              <w:rPr>
                <w:rFonts w:ascii="Aptos" w:hAnsi="Aptos"/>
                <w:b w:val="0"/>
                <w:sz w:val="17"/>
              </w:rPr>
              <w:t>Inicio del Proyecto</w:t>
            </w:r>
          </w:p>
        </w:tc>
        <w:tc>
          <w:tcPr>
            <w:tcW w:type="dxa" w:w="2880"/>
            <w:vAlign w:val="center"/>
          </w:tcPr>
          <w:p>
            <w:pPr>
              <w:spacing w:after="0"/>
            </w:pPr>
            <w:r/>
            <w:r>
              <w:rPr>
                <w:rFonts w:ascii="Aptos" w:hAnsi="Aptos"/>
                <w:b w:val="0"/>
                <w:sz w:val="17"/>
              </w:rPr>
              <w:t>1 de junio de 2022</w:t>
            </w:r>
          </w:p>
        </w:tc>
        <w:tc>
          <w:tcPr>
            <w:tcW w:type="dxa" w:w="3888"/>
            <w:vAlign w:val="center"/>
          </w:tcPr>
          <w:p>
            <w:pPr>
              <w:spacing w:after="0"/>
            </w:pPr>
            <w:r/>
            <w:r>
              <w:rPr>
                <w:rFonts w:ascii="Aptos" w:hAnsi="Aptos"/>
                <w:b w:val="0"/>
                <w:sz w:val="17"/>
              </w:rPr>
              <w:t>Fecha histórica aceptada.</w:t>
            </w:r>
          </w:p>
        </w:tc>
      </w:tr>
      <w:tr>
        <w:tc>
          <w:tcPr>
            <w:tcW w:type="dxa" w:w="3024"/>
            <w:vAlign w:val="center"/>
            <w:shd w:fill="F5F7FA"/>
          </w:tcPr>
          <w:p>
            <w:pPr>
              <w:spacing w:after="0"/>
            </w:pPr>
            <w:r/>
            <w:r>
              <w:rPr>
                <w:rFonts w:ascii="Aptos" w:hAnsi="Aptos"/>
                <w:b w:val="0"/>
                <w:sz w:val="17"/>
              </w:rPr>
              <w:t>CEF mínimo documentado</w:t>
            </w:r>
          </w:p>
        </w:tc>
        <w:tc>
          <w:tcPr>
            <w:tcW w:type="dxa" w:w="2880"/>
            <w:vAlign w:val="center"/>
            <w:shd w:fill="F5F7FA"/>
          </w:tcPr>
          <w:p>
            <w:pPr>
              <w:spacing w:after="0"/>
            </w:pPr>
            <w:r/>
            <w:r>
              <w:rPr>
                <w:rFonts w:ascii="Aptos" w:hAnsi="Aptos"/>
                <w:b w:val="0"/>
                <w:sz w:val="17"/>
              </w:rPr>
              <w:t>$85.020.000 COP</w:t>
            </w:r>
          </w:p>
        </w:tc>
        <w:tc>
          <w:tcPr>
            <w:tcW w:type="dxa" w:w="3888"/>
            <w:vAlign w:val="center"/>
            <w:shd w:fill="F5F7FA"/>
          </w:tcPr>
          <w:p>
            <w:pPr>
              <w:spacing w:after="0"/>
            </w:pPr>
            <w:r/>
            <w:r>
              <w:rPr>
                <w:rFonts w:ascii="Aptos" w:hAnsi="Aptos"/>
                <w:b w:val="0"/>
                <w:sz w:val="17"/>
              </w:rPr>
              <w:t>Sujeto a conciliación, recuperaciones y no duplicidad.</w:t>
            </w:r>
          </w:p>
        </w:tc>
      </w:tr>
      <w:tr>
        <w:tc>
          <w:tcPr>
            <w:tcW w:type="dxa" w:w="3024"/>
            <w:vAlign w:val="center"/>
          </w:tcPr>
          <w:p>
            <w:pPr>
              <w:spacing w:after="0"/>
            </w:pPr>
            <w:r/>
            <w:r>
              <w:rPr>
                <w:rFonts w:ascii="Aptos" w:hAnsi="Aptos"/>
                <w:b w:val="0"/>
                <w:sz w:val="17"/>
              </w:rPr>
              <w:t>Trabajo provisional</w:t>
            </w:r>
          </w:p>
        </w:tc>
        <w:tc>
          <w:tcPr>
            <w:tcW w:type="dxa" w:w="2880"/>
            <w:vAlign w:val="center"/>
          </w:tcPr>
          <w:p>
            <w:pPr>
              <w:spacing w:after="0"/>
            </w:pPr>
            <w:r/>
            <w:r>
              <w:rPr>
                <w:rFonts w:ascii="Aptos" w:hAnsi="Aptos"/>
                <w:b w:val="0"/>
                <w:sz w:val="17"/>
              </w:rPr>
              <w:t>3.230 horas</w:t>
            </w:r>
          </w:p>
        </w:tc>
        <w:tc>
          <w:tcPr>
            <w:tcW w:type="dxa" w:w="3888"/>
            <w:vAlign w:val="center"/>
          </w:tcPr>
          <w:p>
            <w:pPr>
              <w:spacing w:after="0"/>
            </w:pPr>
            <w:r/>
            <w:r>
              <w:rPr>
                <w:rFonts w:ascii="Aptos" w:hAnsi="Aptos"/>
                <w:b w:val="0"/>
                <w:sz w:val="17"/>
              </w:rPr>
              <w:t>Evidencia; no factura ni deuda automática.</w:t>
            </w:r>
          </w:p>
        </w:tc>
      </w:tr>
      <w:tr>
        <w:tc>
          <w:tcPr>
            <w:tcW w:type="dxa" w:w="3024"/>
            <w:vAlign w:val="center"/>
            <w:shd w:fill="F5F7FA"/>
          </w:tcPr>
          <w:p>
            <w:pPr>
              <w:spacing w:after="0"/>
            </w:pPr>
            <w:r/>
            <w:r>
              <w:rPr>
                <w:rFonts w:ascii="Aptos" w:hAnsi="Aptos"/>
                <w:b w:val="0"/>
                <w:sz w:val="17"/>
              </w:rPr>
              <w:t>Participación fundacional</w:t>
            </w:r>
          </w:p>
        </w:tc>
        <w:tc>
          <w:tcPr>
            <w:tcW w:type="dxa" w:w="2880"/>
            <w:vAlign w:val="center"/>
            <w:shd w:fill="F5F7FA"/>
          </w:tcPr>
          <w:p>
            <w:pPr>
              <w:spacing w:after="0"/>
            </w:pPr>
            <w:r/>
            <w:r>
              <w:rPr>
                <w:rFonts w:ascii="Aptos" w:hAnsi="Aptos"/>
                <w:b w:val="0"/>
                <w:sz w:val="17"/>
              </w:rPr>
              <w:t>65 % Andrés / 35 % Felipe</w:t>
            </w:r>
          </w:p>
        </w:tc>
        <w:tc>
          <w:tcPr>
            <w:tcW w:type="dxa" w:w="3888"/>
            <w:vAlign w:val="center"/>
            <w:shd w:fill="F5F7FA"/>
          </w:tcPr>
          <w:p>
            <w:r>
              <w:t>Aplicable en construcción y recuperación.</w:t>
            </w:r>
          </w:p>
        </w:tc>
      </w:tr>
      <w:tr>
        <w:tc>
          <w:tcPr>
            <w:tcW w:type="dxa" w:w="3024"/>
            <w:vAlign w:val="center"/>
          </w:tcPr>
          <w:p>
            <w:pPr>
              <w:spacing w:after="0"/>
            </w:pPr>
            <w:r/>
            <w:r>
              <w:rPr>
                <w:rFonts w:ascii="Aptos" w:hAnsi="Aptos"/>
                <w:b w:val="0"/>
                <w:sz w:val="17"/>
              </w:rPr>
              <w:t>Prima Fundacional</w:t>
            </w:r>
          </w:p>
        </w:tc>
        <w:tc>
          <w:tcPr>
            <w:tcW w:type="dxa" w:w="2880"/>
            <w:vAlign w:val="center"/>
          </w:tcPr>
          <w:p>
            <w:pPr>
              <w:spacing w:after="0"/>
            </w:pPr>
            <w:r/>
            <w:r>
              <w:rPr>
                <w:rFonts w:ascii="Aptos" w:hAnsi="Aptos"/>
                <w:b w:val="0"/>
                <w:sz w:val="17"/>
              </w:rPr>
              <w:t>20 % del CEF neto conciliado</w:t>
            </w:r>
          </w:p>
        </w:tc>
        <w:tc>
          <w:tcPr>
            <w:tcW w:type="dxa" w:w="3888"/>
            <w:vAlign w:val="center"/>
          </w:tcPr>
          <w:p>
            <w:pPr>
              <w:spacing w:after="0"/>
            </w:pPr>
            <w:r/>
            <w:r>
              <w:rPr>
                <w:rFonts w:ascii="Aptos" w:hAnsi="Aptos"/>
                <w:b w:val="0"/>
                <w:sz w:val="17"/>
              </w:rPr>
              <w:t>Antes del cambio de etapa.</w:t>
            </w:r>
          </w:p>
        </w:tc>
      </w:tr>
      <w:tr>
        <w:tc>
          <w:tcPr>
            <w:tcW w:type="dxa" w:w="3024"/>
            <w:vAlign w:val="center"/>
            <w:shd w:fill="F5F7FA"/>
          </w:tcPr>
          <w:p>
            <w:pPr>
              <w:spacing w:after="0"/>
            </w:pPr>
            <w:r/>
            <w:r>
              <w:rPr>
                <w:rFonts w:ascii="Aptos" w:hAnsi="Aptos"/>
                <w:b w:val="0"/>
                <w:sz w:val="17"/>
              </w:rPr>
              <w:t>Etapa madura</w:t>
            </w:r>
          </w:p>
        </w:tc>
        <w:tc>
          <w:tcPr>
            <w:tcW w:type="dxa" w:w="2880"/>
            <w:vAlign w:val="center"/>
            <w:shd w:fill="F5F7FA"/>
          </w:tcPr>
          <w:p>
            <w:r>
              <w:t>55 % Andrés / 45 % Felipe por 10 años completos</w:t>
            </w:r>
          </w:p>
        </w:tc>
        <w:tc>
          <w:tcPr>
            <w:tcW w:type="dxa" w:w="3888"/>
            <w:vAlign w:val="center"/>
            <w:shd w:fill="F5F7FA"/>
          </w:tcPr>
          <w:p>
            <w:r>
              <w:t>Inicia únicamente en la Fecha de Liberación Fundacional.</w:t>
            </w:r>
          </w:p>
        </w:tc>
      </w:tr>
      <w:tr>
        <w:tc>
          <w:tcPr>
            <w:tcW w:type="dxa" w:w="3024"/>
            <w:vAlign w:val="center"/>
          </w:tcPr>
          <w:p>
            <w:pPr>
              <w:spacing w:after="0"/>
            </w:pPr>
            <w:r/>
            <w:r>
              <w:rPr>
                <w:rFonts w:ascii="Aptos" w:hAnsi="Aptos"/>
                <w:b w:val="0"/>
                <w:sz w:val="17"/>
              </w:rPr>
              <w:t>Yacar Andrés</w:t>
            </w:r>
          </w:p>
        </w:tc>
        <w:tc>
          <w:tcPr>
            <w:tcW w:type="dxa" w:w="2880"/>
            <w:vAlign w:val="center"/>
          </w:tcPr>
          <w:p>
            <w:pPr>
              <w:spacing w:after="0"/>
            </w:pPr>
            <w:r/>
            <w:r>
              <w:rPr>
                <w:rFonts w:ascii="Aptos" w:hAnsi="Aptos"/>
                <w:b w:val="0"/>
                <w:sz w:val="17"/>
              </w:rPr>
              <w:t>Aprox. $30.000.000 COP</w:t>
            </w:r>
          </w:p>
        </w:tc>
        <w:tc>
          <w:tcPr>
            <w:tcW w:type="dxa" w:w="3888"/>
            <w:vAlign w:val="center"/>
          </w:tcPr>
          <w:p>
            <w:pPr>
              <w:spacing w:after="0"/>
            </w:pPr>
            <w:r/>
            <w:r>
              <w:rPr>
                <w:rFonts w:ascii="Aptos" w:hAnsi="Aptos"/>
                <w:b w:val="0"/>
                <w:sz w:val="17"/>
              </w:rPr>
              <w:t>Sujeto a soportes.</w:t>
            </w:r>
          </w:p>
        </w:tc>
      </w:tr>
      <w:tr>
        <w:tc>
          <w:tcPr>
            <w:tcW w:type="dxa" w:w="3024"/>
            <w:vAlign w:val="center"/>
            <w:shd w:fill="F5F7FA"/>
          </w:tcPr>
          <w:p>
            <w:pPr>
              <w:spacing w:after="0"/>
            </w:pPr>
            <w:r/>
            <w:r>
              <w:rPr>
                <w:rFonts w:ascii="Aptos" w:hAnsi="Aptos"/>
                <w:b w:val="0"/>
                <w:sz w:val="17"/>
              </w:rPr>
              <w:t>Yacar Felipe</w:t>
            </w:r>
          </w:p>
        </w:tc>
        <w:tc>
          <w:tcPr>
            <w:tcW w:type="dxa" w:w="2880"/>
            <w:vAlign w:val="center"/>
            <w:shd w:fill="F5F7FA"/>
          </w:tcPr>
          <w:p>
            <w:pPr>
              <w:spacing w:after="0"/>
            </w:pPr>
            <w:r/>
            <w:r>
              <w:rPr>
                <w:rFonts w:ascii="Aptos" w:hAnsi="Aptos"/>
                <w:b w:val="0"/>
                <w:sz w:val="17"/>
              </w:rPr>
              <w:t>Aprox. $20.000.000 COP</w:t>
            </w:r>
          </w:p>
        </w:tc>
        <w:tc>
          <w:tcPr>
            <w:tcW w:type="dxa" w:w="3888"/>
            <w:vAlign w:val="center"/>
            <w:shd w:fill="F5F7FA"/>
          </w:tcPr>
          <w:p>
            <w:pPr>
              <w:spacing w:after="0"/>
            </w:pPr>
            <w:r/>
            <w:r>
              <w:rPr>
                <w:rFonts w:ascii="Aptos" w:hAnsi="Aptos"/>
                <w:b w:val="0"/>
                <w:sz w:val="17"/>
              </w:rPr>
              <w:t>Sujeto a soportes.</w:t>
            </w:r>
          </w:p>
        </w:tc>
      </w:tr>
      <w:tr>
        <w:tc>
          <w:tcPr>
            <w:tcW w:type="dxa" w:w="3024"/>
            <w:vAlign w:val="center"/>
          </w:tcPr>
          <w:p>
            <w:pPr>
              <w:spacing w:after="0"/>
            </w:pPr>
            <w:r/>
            <w:r>
              <w:rPr>
                <w:rFonts w:ascii="Aptos" w:hAnsi="Aptos"/>
                <w:b w:val="0"/>
                <w:sz w:val="17"/>
              </w:rPr>
              <w:t>Saldo vendedor Yacar</w:t>
            </w:r>
          </w:p>
        </w:tc>
        <w:tc>
          <w:tcPr>
            <w:tcW w:type="dxa" w:w="2880"/>
            <w:vAlign w:val="center"/>
          </w:tcPr>
          <w:p>
            <w:pPr>
              <w:spacing w:after="0"/>
            </w:pPr>
            <w:r/>
            <w:r>
              <w:rPr>
                <w:rFonts w:ascii="Aptos" w:hAnsi="Aptos"/>
                <w:b w:val="0"/>
                <w:sz w:val="17"/>
              </w:rPr>
              <w:t>Aprox. $15.000.000 COP</w:t>
            </w:r>
          </w:p>
        </w:tc>
        <w:tc>
          <w:tcPr>
            <w:tcW w:type="dxa" w:w="3888"/>
            <w:vAlign w:val="center"/>
          </w:tcPr>
          <w:p>
            <w:pPr>
              <w:spacing w:after="0"/>
            </w:pPr>
            <w:r/>
            <w:r>
              <w:rPr>
                <w:rFonts w:ascii="Aptos" w:hAnsi="Aptos"/>
                <w:b w:val="0"/>
                <w:sz w:val="17"/>
              </w:rPr>
              <w:t>Base e intereses por reconstruir.</w:t>
            </w:r>
          </w:p>
        </w:tc>
      </w:tr>
      <w:tr>
        <w:tc>
          <w:tcPr>
            <w:tcW w:type="dxa" w:w="3024"/>
            <w:vAlign w:val="center"/>
            <w:shd w:fill="F5F7FA"/>
          </w:tcPr>
          <w:p>
            <w:pPr>
              <w:spacing w:after="0"/>
            </w:pPr>
            <w:r/>
            <w:r>
              <w:rPr>
                <w:rFonts w:ascii="Aptos" w:hAnsi="Aptos"/>
                <w:b w:val="0"/>
                <w:sz w:val="17"/>
              </w:rPr>
              <w:t>Tasa mencionada</w:t>
            </w:r>
          </w:p>
        </w:tc>
        <w:tc>
          <w:tcPr>
            <w:tcW w:type="dxa" w:w="2880"/>
            <w:vAlign w:val="center"/>
            <w:shd w:fill="F5F7FA"/>
          </w:tcPr>
          <w:p>
            <w:pPr>
              <w:spacing w:after="0"/>
            </w:pPr>
            <w:r/>
            <w:r>
              <w:rPr>
                <w:rFonts w:ascii="Aptos" w:hAnsi="Aptos"/>
                <w:b w:val="0"/>
                <w:sz w:val="17"/>
              </w:rPr>
              <w:t>1,5 % mensual</w:t>
            </w:r>
          </w:p>
        </w:tc>
        <w:tc>
          <w:tcPr>
            <w:tcW w:type="dxa" w:w="3888"/>
            <w:vAlign w:val="center"/>
            <w:shd w:fill="F5F7FA"/>
          </w:tcPr>
          <w:p>
            <w:pPr>
              <w:spacing w:after="0"/>
            </w:pPr>
            <w:r/>
            <w:r>
              <w:rPr>
                <w:rFonts w:ascii="Aptos" w:hAnsi="Aptos"/>
                <w:b w:val="0"/>
                <w:sz w:val="17"/>
              </w:rPr>
              <w:t>No aplicar sin definir base y período.</w:t>
            </w:r>
          </w:p>
        </w:tc>
      </w:tr>
    </w:tbl>
    <w:p/>
    <w:p>
      <w:pPr>
        <w:pStyle w:val="Heading1"/>
      </w:pPr>
      <w:r>
        <w:t>ANEXO 2 — MATRIZ RESUMIDA DE ACTIVOS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C304A"/>
            <w:vAlign w:val="center"/>
          </w:tcPr>
          <w:p>
            <w:pPr>
              <w:spacing w:after="0"/>
            </w:pPr>
            <w:r/>
            <w:r>
              <w:rPr>
                <w:rFonts w:ascii="Aptos" w:hAnsi="Aptos"/>
                <w:b/>
                <w:color w:val="FFFFFF"/>
                <w:sz w:val="17"/>
              </w:rPr>
              <w:t>Activo</w:t>
            </w:r>
          </w:p>
        </w:tc>
        <w:tc>
          <w:tcPr>
            <w:tcW w:type="dxa" w:w="3312"/>
            <w:shd w:fill="1C304A"/>
            <w:vAlign w:val="center"/>
          </w:tcPr>
          <w:p>
            <w:pPr>
              <w:spacing w:after="0"/>
            </w:pPr>
            <w:r/>
            <w:r>
              <w:rPr>
                <w:rFonts w:ascii="Aptos" w:hAnsi="Aptos"/>
                <w:b/>
                <w:color w:val="FFFFFF"/>
                <w:sz w:val="17"/>
              </w:rPr>
              <w:t>Titularidad/control</w:t>
            </w:r>
          </w:p>
        </w:tc>
        <w:tc>
          <w:tcPr>
            <w:tcW w:type="dxa" w:w="3600"/>
            <w:shd w:fill="1C304A"/>
            <w:vAlign w:val="center"/>
          </w:tcPr>
          <w:p>
            <w:pPr>
              <w:spacing w:after="0"/>
            </w:pPr>
            <w:r/>
            <w:r>
              <w:rPr>
                <w:rFonts w:ascii="Aptos" w:hAnsi="Aptos"/>
                <w:b/>
                <w:color w:val="FFFFFF"/>
                <w:sz w:val="17"/>
              </w:rPr>
              <w:t>Derecho económico</w:t>
            </w:r>
          </w:p>
        </w:tc>
      </w:tr>
      <w:tr>
        <w:tc>
          <w:tcPr>
            <w:tcW w:type="dxa" w:w="2880"/>
            <w:vAlign w:val="center"/>
          </w:tcPr>
          <w:p>
            <w:pPr>
              <w:spacing w:after="0"/>
            </w:pPr>
            <w:r/>
            <w:r>
              <w:rPr>
                <w:rFonts w:ascii="Aptos" w:hAnsi="Aptos"/>
                <w:b w:val="0"/>
                <w:sz w:val="17"/>
              </w:rPr>
              <w:t>Suzuki Swift GTi</w:t>
            </w:r>
          </w:p>
        </w:tc>
        <w:tc>
          <w:tcPr>
            <w:tcW w:type="dxa" w:w="3312"/>
            <w:vAlign w:val="center"/>
          </w:tcPr>
          <w:p>
            <w:pPr>
              <w:spacing w:after="0"/>
            </w:pPr>
            <w:r/>
            <w:r>
              <w:rPr>
                <w:rFonts w:ascii="Aptos" w:hAnsi="Aptos"/>
                <w:b w:val="0"/>
                <w:sz w:val="17"/>
              </w:rPr>
              <w:t>Propiedad personal de Andrés</w:t>
            </w:r>
          </w:p>
        </w:tc>
        <w:tc>
          <w:tcPr>
            <w:tcW w:type="dxa" w:w="3600"/>
            <w:vAlign w:val="center"/>
          </w:tcPr>
          <w:p>
            <w:pPr>
              <w:spacing w:after="0"/>
            </w:pPr>
            <w:r/>
            <w:r>
              <w:rPr>
                <w:rFonts w:ascii="Aptos" w:hAnsi="Aptos"/>
                <w:b w:val="0"/>
                <w:sz w:val="17"/>
              </w:rPr>
              <w:t>Uso no transfiere propiedad.</w:t>
            </w:r>
          </w:p>
        </w:tc>
      </w:tr>
      <w:tr>
        <w:tc>
          <w:tcPr>
            <w:tcW w:type="dxa" w:w="2880"/>
            <w:vAlign w:val="center"/>
            <w:shd w:fill="F5F7FA"/>
          </w:tcPr>
          <w:p>
            <w:pPr>
              <w:spacing w:after="0"/>
            </w:pPr>
            <w:r/>
            <w:r>
              <w:rPr>
                <w:rFonts w:ascii="Aptos" w:hAnsi="Aptos"/>
                <w:b w:val="0"/>
                <w:sz w:val="17"/>
              </w:rPr>
              <w:t>Yacar Car Cross</w:t>
            </w:r>
          </w:p>
        </w:tc>
        <w:tc>
          <w:tcPr>
            <w:tcW w:type="dxa" w:w="3312"/>
            <w:vAlign w:val="center"/>
            <w:shd w:fill="F5F7FA"/>
          </w:tcPr>
          <w:p>
            <w:pPr>
              <w:spacing w:after="0"/>
            </w:pPr>
            <w:r/>
            <w:r>
              <w:rPr>
                <w:rFonts w:ascii="Aptos" w:hAnsi="Aptos"/>
                <w:b w:val="0"/>
                <w:sz w:val="17"/>
              </w:rPr>
              <w:t>Según documentos, pagos y posesión</w:t>
            </w:r>
          </w:p>
        </w:tc>
        <w:tc>
          <w:tcPr>
            <w:tcW w:type="dxa" w:w="3600"/>
            <w:vAlign w:val="center"/>
            <w:shd w:fill="F5F7FA"/>
          </w:tcPr>
          <w:p>
            <w:pPr>
              <w:spacing w:after="0"/>
            </w:pPr>
            <w:r/>
            <w:r>
              <w:rPr>
                <w:rFonts w:ascii="Aptos" w:hAnsi="Aptos"/>
                <w:b w:val="0"/>
                <w:sz w:val="17"/>
              </w:rPr>
              <w:t>Participación interna según aportes probados.</w:t>
            </w:r>
          </w:p>
        </w:tc>
      </w:tr>
      <w:tr>
        <w:tc>
          <w:tcPr>
            <w:tcW w:type="dxa" w:w="2880"/>
            <w:vAlign w:val="center"/>
          </w:tcPr>
          <w:p>
            <w:r>
              <w:t>Cuentas personales o perfiles híbridos (p. ej., Instagram, TikTok, YouTube u otros)</w:t>
            </w:r>
          </w:p>
        </w:tc>
        <w:tc>
          <w:tcPr>
            <w:tcW w:type="dxa" w:w="3312"/>
            <w:vAlign w:val="center"/>
          </w:tcPr>
          <w:p>
            <w:r>
              <w:t>Identidad y control originario según titular y fecha de creación</w:t>
            </w:r>
          </w:p>
        </w:tc>
        <w:tc>
          <w:tcPr>
            <w:tcW w:type="dxa" w:w="3600"/>
            <w:vAlign w:val="center"/>
          </w:tcPr>
          <w:p>
            <w:r>
              <w:t>El componente de valor empresarial, posicionamiento, monetización y comunidad creado mediante el ecosistema del Proyecto es compartido, independientemente de la plataforma.</w:t>
            </w:r>
          </w:p>
        </w:tc>
      </w:tr>
      <w:tr>
        <w:tc>
          <w:tcPr>
            <w:tcW w:type="dxa" w:w="2880"/>
            <w:vAlign w:val="center"/>
            <w:shd w:fill="F5F7FA"/>
          </w:tcPr>
          <w:p>
            <w:pPr>
              <w:spacing w:after="0"/>
            </w:pPr>
            <w:r/>
            <w:r>
              <w:rPr>
                <w:rFonts w:ascii="Aptos" w:hAnsi="Aptos"/>
                <w:b w:val="0"/>
                <w:sz w:val="17"/>
              </w:rPr>
              <w:t>Facebook, YouTube y otras cuentas del Proyecto</w:t>
            </w:r>
          </w:p>
        </w:tc>
        <w:tc>
          <w:tcPr>
            <w:tcW w:type="dxa" w:w="3312"/>
            <w:vAlign w:val="center"/>
            <w:shd w:fill="F5F7FA"/>
          </w:tcPr>
          <w:p>
            <w:pPr>
              <w:spacing w:after="0"/>
            </w:pPr>
            <w:r/>
            <w:r>
              <w:rPr>
                <w:rFonts w:ascii="Aptos" w:hAnsi="Aptos"/>
                <w:b w:val="0"/>
                <w:sz w:val="17"/>
              </w:rPr>
              <w:t>Según registros y control técnico</w:t>
            </w:r>
          </w:p>
        </w:tc>
        <w:tc>
          <w:tcPr>
            <w:tcW w:type="dxa" w:w="3600"/>
            <w:vAlign w:val="center"/>
            <w:shd w:fill="F5F7FA"/>
          </w:tcPr>
          <w:p>
            <w:pPr>
              <w:spacing w:after="0"/>
            </w:pPr>
            <w:r/>
            <w:r>
              <w:rPr>
                <w:rFonts w:ascii="Aptos" w:hAnsi="Aptos"/>
                <w:b w:val="0"/>
                <w:sz w:val="17"/>
              </w:rPr>
              <w:t>Activos empresariales.</w:t>
            </w:r>
          </w:p>
        </w:tc>
      </w:tr>
      <w:tr>
        <w:tc>
          <w:tcPr>
            <w:tcW w:type="dxa" w:w="2880"/>
            <w:vAlign w:val="center"/>
          </w:tcPr>
          <w:p>
            <w:pPr>
              <w:spacing w:after="0"/>
            </w:pPr>
            <w:r/>
            <w:r>
              <w:rPr>
                <w:rFonts w:ascii="Aptos" w:hAnsi="Aptos"/>
                <w:b w:val="0"/>
                <w:sz w:val="17"/>
              </w:rPr>
              <w:t>Biblioteca audiovisual</w:t>
            </w:r>
          </w:p>
        </w:tc>
        <w:tc>
          <w:tcPr>
            <w:tcW w:type="dxa" w:w="3312"/>
            <w:vAlign w:val="center"/>
          </w:tcPr>
          <w:p>
            <w:pPr>
              <w:spacing w:after="0"/>
            </w:pPr>
            <w:r/>
            <w:r>
              <w:rPr>
                <w:rFonts w:ascii="Aptos" w:hAnsi="Aptos"/>
                <w:b w:val="0"/>
                <w:sz w:val="17"/>
              </w:rPr>
              <w:t>Derechos morales y personales respetados</w:t>
            </w:r>
          </w:p>
        </w:tc>
        <w:tc>
          <w:tcPr>
            <w:tcW w:type="dxa" w:w="3600"/>
            <w:vAlign w:val="center"/>
          </w:tcPr>
          <w:p>
            <w:pPr>
              <w:spacing w:after="0"/>
            </w:pPr>
            <w:r/>
            <w:r>
              <w:rPr>
                <w:rFonts w:ascii="Aptos" w:hAnsi="Aptos"/>
                <w:b w:val="0"/>
                <w:sz w:val="17"/>
              </w:rPr>
              <w:t>Explotación patrimonial empresarial.</w:t>
            </w:r>
          </w:p>
        </w:tc>
      </w:tr>
      <w:tr>
        <w:tc>
          <w:tcPr>
            <w:tcW w:type="dxa" w:w="2880"/>
            <w:vAlign w:val="center"/>
            <w:shd w:fill="F5F7FA"/>
          </w:tcPr>
          <w:p>
            <w:pPr>
              <w:spacing w:after="0"/>
            </w:pPr>
            <w:r/>
            <w:r>
              <w:rPr>
                <w:rFonts w:ascii="Aptos" w:hAnsi="Aptos"/>
                <w:b w:val="0"/>
                <w:sz w:val="17"/>
              </w:rPr>
              <w:t>Marca FELIPEGIL360</w:t>
            </w:r>
          </w:p>
        </w:tc>
        <w:tc>
          <w:tcPr>
            <w:tcW w:type="dxa" w:w="3312"/>
            <w:vAlign w:val="center"/>
            <w:shd w:fill="F5F7FA"/>
          </w:tcPr>
          <w:p>
            <w:pPr>
              <w:spacing w:after="0"/>
            </w:pPr>
            <w:r/>
            <w:r>
              <w:rPr>
                <w:rFonts w:ascii="Aptos" w:hAnsi="Aptos"/>
                <w:b w:val="0"/>
                <w:sz w:val="17"/>
              </w:rPr>
              <w:t>Nombre personal no se transfiere</w:t>
            </w:r>
          </w:p>
        </w:tc>
        <w:tc>
          <w:tcPr>
            <w:tcW w:type="dxa" w:w="3600"/>
            <w:vAlign w:val="center"/>
            <w:shd w:fill="F5F7FA"/>
          </w:tcPr>
          <w:p>
            <w:pPr>
              <w:spacing w:after="0"/>
            </w:pPr>
            <w:r/>
            <w:r>
              <w:rPr>
                <w:rFonts w:ascii="Aptos" w:hAnsi="Aptos"/>
                <w:b w:val="0"/>
                <w:sz w:val="17"/>
              </w:rPr>
              <w:t>Goodwill y posicionamiento son empresariales.</w:t>
            </w:r>
          </w:p>
        </w:tc>
      </w:tr>
      <w:tr>
        <w:tc>
          <w:tcPr>
            <w:tcW w:type="dxa" w:w="2880"/>
            <w:vAlign w:val="center"/>
          </w:tcPr>
          <w:p>
            <w:pPr>
              <w:spacing w:after="0"/>
            </w:pPr>
            <w:r/>
            <w:r>
              <w:rPr>
                <w:rFonts w:ascii="Aptos" w:hAnsi="Aptos"/>
                <w:b w:val="0"/>
                <w:sz w:val="17"/>
              </w:rPr>
              <w:t>Equipos y software</w:t>
            </w:r>
          </w:p>
        </w:tc>
        <w:tc>
          <w:tcPr>
            <w:tcW w:type="dxa" w:w="3312"/>
            <w:vAlign w:val="center"/>
          </w:tcPr>
          <w:p>
            <w:pPr>
              <w:spacing w:after="0"/>
            </w:pPr>
            <w:r/>
            <w:r>
              <w:rPr>
                <w:rFonts w:ascii="Aptos" w:hAnsi="Aptos"/>
                <w:b w:val="0"/>
                <w:sz w:val="17"/>
              </w:rPr>
              <w:t>Según factura o aporte</w:t>
            </w:r>
          </w:p>
        </w:tc>
        <w:tc>
          <w:tcPr>
            <w:tcW w:type="dxa" w:w="3600"/>
            <w:vAlign w:val="center"/>
          </w:tcPr>
          <w:p>
            <w:pPr>
              <w:spacing w:after="0"/>
            </w:pPr>
            <w:r/>
            <w:r>
              <w:rPr>
                <w:rFonts w:ascii="Aptos" w:hAnsi="Aptos"/>
                <w:b w:val="0"/>
                <w:sz w:val="17"/>
              </w:rPr>
              <w:t>Uso, recuperación o licencia según evidencia.</w:t>
            </w:r>
          </w:p>
        </w:tc>
      </w:tr>
      <w:tr>
        <w:tc>
          <w:tcPr>
            <w:tcW w:type="dxa" w:w="2880"/>
            <w:vAlign w:val="center"/>
            <w:shd w:fill="F5F7FA"/>
          </w:tcPr>
          <w:p>
            <w:pPr>
              <w:spacing w:after="0"/>
            </w:pPr>
            <w:r/>
            <w:r>
              <w:rPr>
                <w:rFonts w:ascii="Aptos" w:hAnsi="Aptos"/>
                <w:b w:val="0"/>
                <w:sz w:val="17"/>
              </w:rPr>
              <w:t>Patrocinios y relaciones</w:t>
            </w:r>
          </w:p>
        </w:tc>
        <w:tc>
          <w:tcPr>
            <w:tcW w:type="dxa" w:w="3312"/>
            <w:vAlign w:val="center"/>
            <w:shd w:fill="F5F7FA"/>
          </w:tcPr>
          <w:p>
            <w:pPr>
              <w:spacing w:after="0"/>
            </w:pPr>
            <w:r/>
            <w:r>
              <w:rPr>
                <w:rFonts w:ascii="Aptos" w:hAnsi="Aptos"/>
                <w:b w:val="0"/>
                <w:sz w:val="17"/>
              </w:rPr>
              <w:t>Se respetan contratos de terceros</w:t>
            </w:r>
          </w:p>
        </w:tc>
        <w:tc>
          <w:tcPr>
            <w:tcW w:type="dxa" w:w="3600"/>
            <w:vAlign w:val="center"/>
            <w:shd w:fill="F5F7FA"/>
          </w:tcPr>
          <w:p>
            <w:pPr>
              <w:spacing w:after="0"/>
            </w:pPr>
            <w:r/>
            <w:r>
              <w:rPr>
                <w:rFonts w:ascii="Aptos" w:hAnsi="Aptos"/>
                <w:b w:val="0"/>
                <w:sz w:val="17"/>
              </w:rPr>
              <w:t>Se clasifican por uso real del ecosistema.</w:t>
            </w:r>
          </w:p>
        </w:tc>
      </w:tr>
    </w:tbl>
    <w:p/>
    <w:p>
      <w:pPr>
        <w:pStyle w:val="Heading1"/>
      </w:pPr>
      <w:r>
        <w:t>ANEXO 3 — GOBIERNO Y PLAN OPERATIVO</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fill="1C304A"/>
            <w:vAlign w:val="center"/>
          </w:tcPr>
          <w:p>
            <w:pPr>
              <w:spacing w:after="0"/>
            </w:pPr>
            <w:r/>
            <w:r>
              <w:rPr>
                <w:rFonts w:ascii="Aptos" w:hAnsi="Aptos"/>
                <w:b/>
                <w:color w:val="FFFFFF"/>
                <w:sz w:val="17"/>
              </w:rPr>
              <w:t>Materia</w:t>
            </w:r>
          </w:p>
        </w:tc>
        <w:tc>
          <w:tcPr>
            <w:tcW w:type="dxa" w:w="2880"/>
            <w:shd w:fill="1C304A"/>
            <w:vAlign w:val="center"/>
          </w:tcPr>
          <w:p>
            <w:pPr>
              <w:spacing w:after="0"/>
            </w:pPr>
            <w:r/>
            <w:r>
              <w:rPr>
                <w:rFonts w:ascii="Aptos" w:hAnsi="Aptos"/>
                <w:b/>
                <w:color w:val="FFFFFF"/>
                <w:sz w:val="17"/>
              </w:rPr>
              <w:t>Responsable principal</w:t>
            </w:r>
          </w:p>
        </w:tc>
        <w:tc>
          <w:tcPr>
            <w:tcW w:type="dxa" w:w="3888"/>
            <w:shd w:fill="1C304A"/>
            <w:vAlign w:val="center"/>
          </w:tcPr>
          <w:p>
            <w:pPr>
              <w:spacing w:after="0"/>
            </w:pPr>
            <w:r/>
            <w:r>
              <w:rPr>
                <w:rFonts w:ascii="Aptos" w:hAnsi="Aptos"/>
                <w:b/>
                <w:color w:val="FFFFFF"/>
                <w:sz w:val="17"/>
              </w:rPr>
              <w:t>Regla</w:t>
            </w:r>
          </w:p>
        </w:tc>
      </w:tr>
      <w:tr>
        <w:tc>
          <w:tcPr>
            <w:tcW w:type="dxa" w:w="3024"/>
            <w:vAlign w:val="center"/>
          </w:tcPr>
          <w:p>
            <w:pPr>
              <w:spacing w:after="0"/>
            </w:pPr>
            <w:r/>
            <w:r>
              <w:rPr>
                <w:rFonts w:ascii="Aptos" w:hAnsi="Aptos"/>
                <w:b w:val="0"/>
                <w:sz w:val="17"/>
              </w:rPr>
              <w:t>Estrategia y administración</w:t>
            </w:r>
          </w:p>
        </w:tc>
        <w:tc>
          <w:tcPr>
            <w:tcW w:type="dxa" w:w="2880"/>
            <w:vAlign w:val="center"/>
          </w:tcPr>
          <w:p>
            <w:pPr>
              <w:spacing w:after="0"/>
            </w:pPr>
            <w:r/>
            <w:r>
              <w:rPr>
                <w:rFonts w:ascii="Aptos" w:hAnsi="Aptos"/>
                <w:b w:val="0"/>
                <w:sz w:val="17"/>
              </w:rPr>
              <w:t>Andrés</w:t>
            </w:r>
          </w:p>
        </w:tc>
        <w:tc>
          <w:tcPr>
            <w:tcW w:type="dxa" w:w="3888"/>
            <w:vAlign w:val="center"/>
          </w:tcPr>
          <w:p>
            <w:pPr>
              <w:spacing w:after="0"/>
            </w:pPr>
            <w:r/>
            <w:r>
              <w:rPr>
                <w:rFonts w:ascii="Aptos" w:hAnsi="Aptos"/>
                <w:b w:val="0"/>
                <w:sz w:val="17"/>
              </w:rPr>
              <w:t>Autonomía dentro de presupuesto y contrato.</w:t>
            </w:r>
          </w:p>
        </w:tc>
      </w:tr>
      <w:tr>
        <w:tc>
          <w:tcPr>
            <w:tcW w:type="dxa" w:w="3024"/>
            <w:vAlign w:val="center"/>
            <w:shd w:fill="F5F7FA"/>
          </w:tcPr>
          <w:p>
            <w:pPr>
              <w:spacing w:after="0"/>
            </w:pPr>
            <w:r/>
            <w:r>
              <w:rPr>
                <w:rFonts w:ascii="Aptos" w:hAnsi="Aptos"/>
                <w:b w:val="0"/>
                <w:sz w:val="17"/>
              </w:rPr>
              <w:t>Producción y tecnología</w:t>
            </w:r>
          </w:p>
        </w:tc>
        <w:tc>
          <w:tcPr>
            <w:tcW w:type="dxa" w:w="2880"/>
            <w:vAlign w:val="center"/>
            <w:shd w:fill="F5F7FA"/>
          </w:tcPr>
          <w:p>
            <w:pPr>
              <w:spacing w:after="0"/>
            </w:pPr>
            <w:r/>
            <w:r>
              <w:rPr>
                <w:rFonts w:ascii="Aptos" w:hAnsi="Aptos"/>
                <w:b w:val="0"/>
                <w:sz w:val="17"/>
              </w:rPr>
              <w:t>Andrés</w:t>
            </w:r>
          </w:p>
        </w:tc>
        <w:tc>
          <w:tcPr>
            <w:tcW w:type="dxa" w:w="3888"/>
            <w:vAlign w:val="center"/>
            <w:shd w:fill="F5F7FA"/>
          </w:tcPr>
          <w:p>
            <w:pPr>
              <w:spacing w:after="0"/>
            </w:pPr>
            <w:r/>
            <w:r>
              <w:rPr>
                <w:rFonts w:ascii="Aptos" w:hAnsi="Aptos"/>
                <w:b w:val="0"/>
                <w:sz w:val="17"/>
              </w:rPr>
              <w:t>Coordinación con Felipe cuando requiera su participación.</w:t>
            </w:r>
          </w:p>
        </w:tc>
      </w:tr>
      <w:tr>
        <w:tc>
          <w:tcPr>
            <w:tcW w:type="dxa" w:w="3024"/>
            <w:vAlign w:val="center"/>
          </w:tcPr>
          <w:p>
            <w:pPr>
              <w:spacing w:after="0"/>
            </w:pPr>
            <w:r/>
            <w:r>
              <w:rPr>
                <w:rFonts w:ascii="Aptos" w:hAnsi="Aptos"/>
                <w:b w:val="0"/>
                <w:sz w:val="17"/>
              </w:rPr>
              <w:t>Ejecución técnica y pública</w:t>
            </w:r>
          </w:p>
        </w:tc>
        <w:tc>
          <w:tcPr>
            <w:tcW w:type="dxa" w:w="2880"/>
            <w:vAlign w:val="center"/>
          </w:tcPr>
          <w:p>
            <w:pPr>
              <w:spacing w:after="0"/>
            </w:pPr>
            <w:r/>
            <w:r>
              <w:rPr>
                <w:rFonts w:ascii="Aptos" w:hAnsi="Aptos"/>
                <w:b w:val="0"/>
                <w:sz w:val="17"/>
              </w:rPr>
              <w:t>Felipe</w:t>
            </w:r>
          </w:p>
        </w:tc>
        <w:tc>
          <w:tcPr>
            <w:tcW w:type="dxa" w:w="3888"/>
            <w:vAlign w:val="center"/>
          </w:tcPr>
          <w:p>
            <w:pPr>
              <w:spacing w:after="0"/>
            </w:pPr>
            <w:r/>
            <w:r>
              <w:rPr>
                <w:rFonts w:ascii="Aptos" w:hAnsi="Aptos"/>
                <w:b w:val="0"/>
                <w:sz w:val="17"/>
              </w:rPr>
              <w:t>Cumplimiento de planes y compromisos aprobados.</w:t>
            </w:r>
          </w:p>
        </w:tc>
      </w:tr>
      <w:tr>
        <w:tc>
          <w:tcPr>
            <w:tcW w:type="dxa" w:w="3024"/>
            <w:vAlign w:val="center"/>
            <w:shd w:fill="F5F7FA"/>
          </w:tcPr>
          <w:p>
            <w:pPr>
              <w:spacing w:after="0"/>
            </w:pPr>
            <w:r/>
            <w:r>
              <w:rPr>
                <w:rFonts w:ascii="Aptos" w:hAnsi="Aptos"/>
                <w:b w:val="0"/>
                <w:sz w:val="17"/>
              </w:rPr>
              <w:t>Presupuesto anual/trimestral</w:t>
            </w:r>
          </w:p>
        </w:tc>
        <w:tc>
          <w:tcPr>
            <w:tcW w:type="dxa" w:w="2880"/>
            <w:vAlign w:val="center"/>
            <w:shd w:fill="F5F7FA"/>
          </w:tcPr>
          <w:p>
            <w:pPr>
              <w:spacing w:after="0"/>
            </w:pPr>
            <w:r/>
            <w:r>
              <w:rPr>
                <w:rFonts w:ascii="Aptos" w:hAnsi="Aptos"/>
                <w:b w:val="0"/>
                <w:sz w:val="17"/>
              </w:rPr>
              <w:t>Ambos</w:t>
            </w:r>
          </w:p>
        </w:tc>
        <w:tc>
          <w:tcPr>
            <w:tcW w:type="dxa" w:w="3888"/>
            <w:vAlign w:val="center"/>
            <w:shd w:fill="F5F7FA"/>
          </w:tcPr>
          <w:p>
            <w:pPr>
              <w:spacing w:after="0"/>
            </w:pPr>
            <w:r/>
            <w:r>
              <w:rPr>
                <w:rFonts w:ascii="Aptos" w:hAnsi="Aptos"/>
                <w:b w:val="0"/>
                <w:sz w:val="17"/>
              </w:rPr>
              <w:t>Aprobación conjunta.</w:t>
            </w:r>
          </w:p>
        </w:tc>
      </w:tr>
      <w:tr>
        <w:tc>
          <w:tcPr>
            <w:tcW w:type="dxa" w:w="3024"/>
            <w:vAlign w:val="center"/>
          </w:tcPr>
          <w:p>
            <w:pPr>
              <w:spacing w:after="0"/>
            </w:pPr>
            <w:r/>
            <w:r>
              <w:rPr>
                <w:rFonts w:ascii="Aptos" w:hAnsi="Aptos"/>
                <w:b w:val="0"/>
                <w:sz w:val="17"/>
              </w:rPr>
              <w:t>Patrocinios materiales</w:t>
            </w:r>
          </w:p>
        </w:tc>
        <w:tc>
          <w:tcPr>
            <w:tcW w:type="dxa" w:w="2880"/>
            <w:vAlign w:val="center"/>
          </w:tcPr>
          <w:p>
            <w:pPr>
              <w:spacing w:after="0"/>
            </w:pPr>
            <w:r/>
            <w:r>
              <w:rPr>
                <w:rFonts w:ascii="Aptos" w:hAnsi="Aptos"/>
                <w:b w:val="0"/>
                <w:sz w:val="17"/>
              </w:rPr>
              <w:t>Ambos / según competencia</w:t>
            </w:r>
          </w:p>
        </w:tc>
        <w:tc>
          <w:tcPr>
            <w:tcW w:type="dxa" w:w="3888"/>
            <w:vAlign w:val="center"/>
          </w:tcPr>
          <w:p>
            <w:pPr>
              <w:spacing w:after="0"/>
            </w:pPr>
            <w:r/>
            <w:r>
              <w:rPr>
                <w:rFonts w:ascii="Aptos" w:hAnsi="Aptos"/>
                <w:b w:val="0"/>
                <w:sz w:val="17"/>
              </w:rPr>
              <w:t>Información y trazabilidad obligatorias.</w:t>
            </w:r>
          </w:p>
        </w:tc>
      </w:tr>
      <w:tr>
        <w:tc>
          <w:tcPr>
            <w:tcW w:type="dxa" w:w="3024"/>
            <w:vAlign w:val="center"/>
            <w:shd w:fill="F5F7FA"/>
          </w:tcPr>
          <w:p>
            <w:pPr>
              <w:spacing w:after="0"/>
            </w:pPr>
            <w:r/>
            <w:r>
              <w:rPr>
                <w:rFonts w:ascii="Aptos" w:hAnsi="Aptos"/>
                <w:b w:val="0"/>
                <w:sz w:val="17"/>
              </w:rPr>
              <w:t>Activos esenciales y porcentajes</w:t>
            </w:r>
          </w:p>
        </w:tc>
        <w:tc>
          <w:tcPr>
            <w:tcW w:type="dxa" w:w="2880"/>
            <w:vAlign w:val="center"/>
            <w:shd w:fill="F5F7FA"/>
          </w:tcPr>
          <w:p>
            <w:pPr>
              <w:spacing w:after="0"/>
            </w:pPr>
            <w:r/>
            <w:r>
              <w:rPr>
                <w:rFonts w:ascii="Aptos" w:hAnsi="Aptos"/>
                <w:b w:val="0"/>
                <w:sz w:val="17"/>
              </w:rPr>
              <w:t>Ambos</w:t>
            </w:r>
          </w:p>
        </w:tc>
        <w:tc>
          <w:tcPr>
            <w:tcW w:type="dxa" w:w="3888"/>
            <w:vAlign w:val="center"/>
            <w:shd w:fill="F5F7FA"/>
          </w:tcPr>
          <w:p>
            <w:pPr>
              <w:spacing w:after="0"/>
            </w:pPr>
            <w:r/>
            <w:r>
              <w:rPr>
                <w:rFonts w:ascii="Aptos" w:hAnsi="Aptos"/>
                <w:b w:val="0"/>
                <w:sz w:val="17"/>
              </w:rPr>
              <w:t>Solo por escrito.</w:t>
            </w:r>
          </w:p>
        </w:tc>
      </w:tr>
      <w:tr>
        <w:tc>
          <w:tcPr>
            <w:tcW w:type="dxa" w:w="3024"/>
            <w:vAlign w:val="center"/>
          </w:tcPr>
          <w:p>
            <w:pPr>
              <w:spacing w:after="0"/>
            </w:pPr>
            <w:r/>
            <w:r>
              <w:rPr>
                <w:rFonts w:ascii="Aptos" w:hAnsi="Aptos"/>
                <w:b w:val="0"/>
                <w:sz w:val="17"/>
              </w:rPr>
              <w:t>Conflicto o bloqueo</w:t>
            </w:r>
          </w:p>
        </w:tc>
        <w:tc>
          <w:tcPr>
            <w:tcW w:type="dxa" w:w="2880"/>
            <w:vAlign w:val="center"/>
          </w:tcPr>
          <w:p>
            <w:pPr>
              <w:spacing w:after="0"/>
            </w:pPr>
            <w:r/>
            <w:r>
              <w:rPr>
                <w:rFonts w:ascii="Aptos" w:hAnsi="Aptos"/>
                <w:b w:val="0"/>
                <w:sz w:val="17"/>
              </w:rPr>
              <w:t>Negociación y conciliación</w:t>
            </w:r>
          </w:p>
        </w:tc>
        <w:tc>
          <w:tcPr>
            <w:tcW w:type="dxa" w:w="3888"/>
            <w:vAlign w:val="center"/>
          </w:tcPr>
          <w:p>
            <w:pPr>
              <w:spacing w:after="0"/>
            </w:pPr>
            <w:r/>
            <w:r>
              <w:rPr>
                <w:rFonts w:ascii="Aptos" w:hAnsi="Aptos"/>
                <w:b w:val="0"/>
                <w:sz w:val="17"/>
              </w:rPr>
              <w:t>No apropiación unilateral.</w:t>
            </w:r>
          </w:p>
        </w:tc>
      </w:tr>
    </w:tbl>
    <w:p/>
    <w:p>
      <w:r>
        <w:t>Plan trimestral inicial orientado a resultados (sin control de horario o asistencia):</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440"/>
            <w:shd w:fill="1C304A"/>
            <w:vAlign w:val="center"/>
          </w:tcPr>
          <w:p>
            <w:r>
              <w:t>Periodo</w:t>
            </w:r>
          </w:p>
        </w:tc>
        <w:tc>
          <w:tcPr>
            <w:tcW w:type="dxa" w:w="2016"/>
            <w:shd w:fill="1C304A"/>
            <w:vAlign w:val="center"/>
          </w:tcPr>
          <w:p>
            <w:r>
              <w:t>Entregables</w:t>
            </w:r>
          </w:p>
        </w:tc>
        <w:tc>
          <w:tcPr>
            <w:tcW w:type="dxa" w:w="1440"/>
            <w:shd w:fill="1C304A"/>
            <w:vAlign w:val="center"/>
          </w:tcPr>
          <w:p>
            <w:r>
              <w:t>Fechas objetivo</w:t>
            </w:r>
          </w:p>
        </w:tc>
        <w:tc>
          <w:tcPr>
            <w:tcW w:type="dxa" w:w="2016"/>
            <w:shd w:fill="1C304A"/>
            <w:vAlign w:val="center"/>
          </w:tcPr>
          <w:p>
            <w:r>
              <w:t>Dependencias/recursos</w:t>
            </w:r>
          </w:p>
        </w:tc>
        <w:tc>
          <w:tcPr>
            <w:tcW w:type="dxa" w:w="1440"/>
            <w:shd w:fill="1C304A"/>
            <w:vAlign w:val="center"/>
          </w:tcPr>
          <w:p>
            <w:r>
              <w:t>Responsables</w:t>
            </w:r>
          </w:p>
        </w:tc>
        <w:tc>
          <w:tcPr>
            <w:tcW w:type="dxa" w:w="1440"/>
            <w:shd w:fill="1C304A"/>
            <w:vAlign w:val="center"/>
          </w:tcPr>
          <w:p>
            <w:r>
              <w:t>Presupuesto</w:t>
            </w:r>
          </w:p>
        </w:tc>
      </w:tr>
      <w:tr>
        <w:tc>
          <w:tcPr>
            <w:tcW w:type="dxa" w:w="1440"/>
            <w:vAlign w:val="center"/>
          </w:tcPr>
          <w:p>
            <w:r>
              <w:t>________________</w:t>
            </w:r>
          </w:p>
        </w:tc>
        <w:tc>
          <w:tcPr>
            <w:tcW w:type="dxa" w:w="2016"/>
            <w:vAlign w:val="center"/>
          </w:tcPr>
          <w:p>
            <w:r>
              <w:t>________________</w:t>
            </w:r>
          </w:p>
        </w:tc>
        <w:tc>
          <w:tcPr>
            <w:tcW w:type="dxa" w:w="1440"/>
            <w:vAlign w:val="center"/>
          </w:tcPr>
          <w:p>
            <w:r>
              <w:t>________________</w:t>
            </w:r>
          </w:p>
        </w:tc>
        <w:tc>
          <w:tcPr>
            <w:tcW w:type="dxa" w:w="2016"/>
            <w:vAlign w:val="center"/>
          </w:tcPr>
          <w:p>
            <w:r>
              <w:t>________________</w:t>
            </w:r>
          </w:p>
        </w:tc>
        <w:tc>
          <w:tcPr>
            <w:tcW w:type="dxa" w:w="1440"/>
            <w:vAlign w:val="center"/>
          </w:tcPr>
          <w:p>
            <w:r>
              <w:t>________________</w:t>
            </w:r>
          </w:p>
        </w:tc>
        <w:tc>
          <w:tcPr>
            <w:tcW w:type="dxa" w:w="1440"/>
            <w:vAlign w:val="center"/>
          </w:tcPr>
          <w:p>
            <w:r>
              <w:t>________________</w:t>
            </w:r>
          </w:p>
        </w:tc>
      </w:tr>
    </w:tbl>
    <w:p/>
    <w:p>
      <w:pPr>
        <w:pStyle w:val="Heading1"/>
      </w:pPr>
      <w:r>
        <w:t>ANEXO 4 — DECLARACIÓN DE PATROCINIOS Y ACTIVIDADES</w:t>
      </w:r>
    </w:p>
    <w:p>
      <w:r>
        <w:t>Felipe declara que informará los contratos, canjes, renovaciones y compromisos relacionados sustancialmente con FELIPEGIL360. La existencia de un contrato anterior no constituye incumplimiento por sí sola. El ocultamiento deliberado, apropiación o desvío sí podrá constituirlo.</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448"/>
            <w:shd w:fill="1C304A"/>
            <w:vAlign w:val="center"/>
          </w:tcPr>
          <w:p>
            <w:pPr>
              <w:spacing w:after="0"/>
            </w:pPr>
            <w:r/>
            <w:r>
              <w:rPr>
                <w:rFonts w:ascii="Aptos" w:hAnsi="Aptos"/>
                <w:b/>
                <w:color w:val="FFFFFF"/>
                <w:sz w:val="17"/>
              </w:rPr>
              <w:t>Patrocinador/actividad</w:t>
            </w:r>
          </w:p>
        </w:tc>
        <w:tc>
          <w:tcPr>
            <w:tcW w:type="dxa" w:w="1584"/>
            <w:shd w:fill="1C304A"/>
            <w:vAlign w:val="center"/>
          </w:tcPr>
          <w:p>
            <w:pPr>
              <w:spacing w:after="0"/>
            </w:pPr>
            <w:r/>
            <w:r>
              <w:rPr>
                <w:rFonts w:ascii="Aptos" w:hAnsi="Aptos"/>
                <w:b/>
                <w:color w:val="FFFFFF"/>
                <w:sz w:val="17"/>
              </w:rPr>
              <w:t>Vigencia</w:t>
            </w:r>
          </w:p>
        </w:tc>
        <w:tc>
          <w:tcPr>
            <w:tcW w:type="dxa" w:w="1728"/>
            <w:shd w:fill="1C304A"/>
            <w:vAlign w:val="center"/>
          </w:tcPr>
          <w:p>
            <w:pPr>
              <w:spacing w:after="0"/>
            </w:pPr>
            <w:r/>
            <w:r>
              <w:rPr>
                <w:rFonts w:ascii="Aptos" w:hAnsi="Aptos"/>
                <w:b/>
                <w:color w:val="FFFFFF"/>
                <w:sz w:val="17"/>
              </w:rPr>
              <w:t>Valor/canje</w:t>
            </w:r>
          </w:p>
        </w:tc>
        <w:tc>
          <w:tcPr>
            <w:tcW w:type="dxa" w:w="2592"/>
            <w:shd w:fill="1C304A"/>
            <w:vAlign w:val="center"/>
          </w:tcPr>
          <w:p>
            <w:pPr>
              <w:spacing w:after="0"/>
            </w:pPr>
            <w:r/>
            <w:r>
              <w:rPr>
                <w:rFonts w:ascii="Aptos" w:hAnsi="Aptos"/>
                <w:b/>
                <w:color w:val="FFFFFF"/>
                <w:sz w:val="17"/>
              </w:rPr>
              <w:t>Activos utilizados</w:t>
            </w:r>
          </w:p>
        </w:tc>
        <w:tc>
          <w:tcPr>
            <w:tcW w:type="dxa" w:w="1440"/>
            <w:shd w:fill="1C304A"/>
            <w:vAlign w:val="center"/>
          </w:tcPr>
          <w:p>
            <w:pPr>
              <w:spacing w:after="0"/>
            </w:pPr>
            <w:r/>
            <w:r>
              <w:rPr>
                <w:rFonts w:ascii="Aptos" w:hAnsi="Aptos"/>
                <w:b/>
                <w:color w:val="FFFFFF"/>
                <w:sz w:val="17"/>
              </w:rPr>
              <w:t>Estado</w:t>
            </w:r>
          </w:p>
        </w:tc>
      </w:tr>
      <w:tr>
        <w:tc>
          <w:tcPr>
            <w:tcW w:type="dxa" w:w="2448"/>
            <w:vAlign w:val="center"/>
          </w:tcPr>
          <w:p>
            <w:pPr>
              <w:spacing w:after="0"/>
            </w:pPr>
            <w:r/>
            <w:r>
              <w:rPr>
                <w:rFonts w:ascii="Aptos" w:hAnsi="Aptos"/>
                <w:b w:val="0"/>
                <w:sz w:val="17"/>
              </w:rPr>
              <w:t>________________</w:t>
            </w:r>
          </w:p>
        </w:tc>
        <w:tc>
          <w:tcPr>
            <w:tcW w:type="dxa" w:w="1584"/>
            <w:vAlign w:val="center"/>
          </w:tcPr>
          <w:p>
            <w:pPr>
              <w:spacing w:after="0"/>
            </w:pPr>
            <w:r/>
            <w:r>
              <w:rPr>
                <w:rFonts w:ascii="Aptos" w:hAnsi="Aptos"/>
                <w:b w:val="0"/>
                <w:sz w:val="17"/>
              </w:rPr>
              <w:t>________________</w:t>
            </w:r>
          </w:p>
        </w:tc>
        <w:tc>
          <w:tcPr>
            <w:tcW w:type="dxa" w:w="1728"/>
            <w:vAlign w:val="center"/>
          </w:tcPr>
          <w:p>
            <w:pPr>
              <w:spacing w:after="0"/>
            </w:pPr>
            <w:r/>
            <w:r>
              <w:rPr>
                <w:rFonts w:ascii="Aptos" w:hAnsi="Aptos"/>
                <w:b w:val="0"/>
                <w:sz w:val="17"/>
              </w:rPr>
              <w:t>________________</w:t>
            </w:r>
          </w:p>
        </w:tc>
        <w:tc>
          <w:tcPr>
            <w:tcW w:type="dxa" w:w="2592"/>
            <w:vAlign w:val="center"/>
          </w:tcPr>
          <w:p>
            <w:pPr>
              <w:spacing w:after="0"/>
            </w:pPr>
            <w:r/>
            <w:r>
              <w:rPr>
                <w:rFonts w:ascii="Aptos" w:hAnsi="Aptos"/>
                <w:b w:val="0"/>
                <w:sz w:val="17"/>
              </w:rPr>
              <w:t>________________</w:t>
            </w:r>
          </w:p>
        </w:tc>
        <w:tc>
          <w:tcPr>
            <w:tcW w:type="dxa" w:w="1440"/>
            <w:vAlign w:val="center"/>
          </w:tcPr>
          <w:p>
            <w:pPr>
              <w:spacing w:after="0"/>
            </w:pPr>
            <w:r/>
            <w:r>
              <w:rPr>
                <w:rFonts w:ascii="Aptos" w:hAnsi="Aptos"/>
                <w:b w:val="0"/>
                <w:sz w:val="17"/>
              </w:rPr>
              <w:t>________________</w:t>
            </w:r>
          </w:p>
        </w:tc>
      </w:tr>
    </w:tbl>
    <w:p/>
    <w:p>
      <w:pPr>
        <w:pStyle w:val="SmallNote"/>
      </w:pPr>
      <w:r>
        <w:t>La tabla podrá completarse después de la firma. El deber general de información nace desde la firma.</w:t>
      </w:r>
    </w:p>
    <w:p>
      <w:pPr>
        <w:pStyle w:val="Heading1"/>
        <w:pageBreakBefore/>
      </w:pPr>
      <w:r>
        <w:t>ANEXO 5 — HOJA DE RUTA DE LA SAS</w:t>
      </w:r>
    </w:p>
    <w:tbl>
      <w:tblPr>
        <w:tblStyle w:val="TableGrid"/>
        <w:tblW w:type="auto" w:w="0"/>
        <w:jc w:val="center"/>
        <w:tblLook w:firstColumn="1" w:firstRow="1" w:lastColumn="0" w:lastRow="0" w:noHBand="0" w:noVBand="1" w:val="04A0"/>
      </w:tblPr>
      <w:tblGrid>
        <w:gridCol w:w="4896"/>
        <w:gridCol w:w="4896"/>
      </w:tblGrid>
      <w:tr>
        <w:tc>
          <w:tcPr>
            <w:tcW w:type="dxa" w:w="3168"/>
            <w:shd w:fill="1C304A"/>
            <w:vAlign w:val="center"/>
          </w:tcPr>
          <w:p>
            <w:pPr>
              <w:spacing w:after="0"/>
            </w:pPr>
            <w:r/>
            <w:r>
              <w:rPr>
                <w:rFonts w:ascii="Aptos" w:hAnsi="Aptos"/>
                <w:b/>
                <w:color w:val="FFFFFF"/>
                <w:sz w:val="17"/>
              </w:rPr>
              <w:t>Elemento</w:t>
            </w:r>
          </w:p>
        </w:tc>
        <w:tc>
          <w:tcPr>
            <w:tcW w:type="dxa" w:w="6624"/>
            <w:shd w:fill="1C304A"/>
            <w:vAlign w:val="center"/>
          </w:tcPr>
          <w:p>
            <w:pPr>
              <w:spacing w:after="0"/>
            </w:pPr>
            <w:r/>
            <w:r>
              <w:rPr>
                <w:rFonts w:ascii="Aptos" w:hAnsi="Aptos"/>
                <w:b/>
                <w:color w:val="FFFFFF"/>
                <w:sz w:val="17"/>
              </w:rPr>
              <w:t>Acuerdo inicial</w:t>
            </w:r>
          </w:p>
        </w:tc>
      </w:tr>
      <w:tr>
        <w:tc>
          <w:tcPr>
            <w:tcW w:type="dxa" w:w="3168"/>
            <w:vAlign w:val="center"/>
          </w:tcPr>
          <w:p>
            <w:pPr>
              <w:spacing w:after="0"/>
            </w:pPr>
            <w:r/>
            <w:r>
              <w:rPr>
                <w:rFonts w:ascii="Aptos" w:hAnsi="Aptos"/>
                <w:b w:val="0"/>
                <w:sz w:val="17"/>
              </w:rPr>
              <w:t>Nombre proyectado</w:t>
            </w:r>
          </w:p>
        </w:tc>
        <w:tc>
          <w:tcPr>
            <w:tcW w:type="dxa" w:w="6624"/>
            <w:vAlign w:val="center"/>
          </w:tcPr>
          <w:p>
            <w:pPr>
              <w:spacing w:after="0"/>
            </w:pPr>
            <w:r/>
            <w:r>
              <w:rPr>
                <w:rFonts w:ascii="Aptos" w:hAnsi="Aptos"/>
                <w:b w:val="0"/>
                <w:sz w:val="17"/>
              </w:rPr>
              <w:t>INVERSIONES RACING 360 S.A.S. o variante registral disponible.</w:t>
            </w:r>
          </w:p>
        </w:tc>
      </w:tr>
      <w:tr>
        <w:tc>
          <w:tcPr>
            <w:tcW w:type="dxa" w:w="3168"/>
            <w:vAlign w:val="center"/>
            <w:shd w:fill="F5F7FA"/>
          </w:tcPr>
          <w:p>
            <w:pPr>
              <w:spacing w:after="0"/>
            </w:pPr>
            <w:r/>
            <w:r>
              <w:rPr>
                <w:rFonts w:ascii="Aptos" w:hAnsi="Aptos"/>
                <w:b w:val="0"/>
                <w:sz w:val="17"/>
              </w:rPr>
              <w:t>Acciones iniciales</w:t>
            </w:r>
          </w:p>
        </w:tc>
        <w:tc>
          <w:tcPr>
            <w:tcW w:type="dxa" w:w="6624"/>
            <w:vAlign w:val="center"/>
            <w:shd w:fill="F5F7FA"/>
          </w:tcPr>
          <w:p>
            <w:pPr>
              <w:spacing w:after="0"/>
            </w:pPr>
            <w:r/>
            <w:r>
              <w:rPr>
                <w:rFonts w:ascii="Aptos" w:hAnsi="Aptos"/>
                <w:b w:val="0"/>
                <w:sz w:val="17"/>
              </w:rPr>
              <w:t>65 % Andrés / 35 % Felipe.</w:t>
            </w:r>
          </w:p>
        </w:tc>
      </w:tr>
      <w:tr>
        <w:tc>
          <w:tcPr>
            <w:tcW w:type="dxa" w:w="3168"/>
            <w:vAlign w:val="center"/>
          </w:tcPr>
          <w:p>
            <w:pPr>
              <w:spacing w:after="0"/>
            </w:pPr>
            <w:r/>
            <w:r>
              <w:rPr>
                <w:rFonts w:ascii="Aptos" w:hAnsi="Aptos"/>
                <w:b w:val="0"/>
                <w:sz w:val="17"/>
              </w:rPr>
              <w:t>Representante legal inicial</w:t>
            </w:r>
          </w:p>
        </w:tc>
        <w:tc>
          <w:tcPr>
            <w:tcW w:type="dxa" w:w="6624"/>
            <w:vAlign w:val="center"/>
          </w:tcPr>
          <w:p>
            <w:pPr>
              <w:spacing w:after="0"/>
            </w:pPr>
            <w:r/>
            <w:r>
              <w:rPr>
                <w:rFonts w:ascii="Aptos" w:hAnsi="Aptos"/>
                <w:b w:val="0"/>
                <w:sz w:val="17"/>
              </w:rPr>
              <w:t>Andrés, salvo acuerdo escrito.</w:t>
            </w:r>
          </w:p>
        </w:tc>
      </w:tr>
      <w:tr>
        <w:tc>
          <w:tcPr>
            <w:tcW w:type="dxa" w:w="3168"/>
            <w:vAlign w:val="center"/>
            <w:shd w:fill="F5F7FA"/>
          </w:tcPr>
          <w:p>
            <w:pPr>
              <w:spacing w:after="0"/>
            </w:pPr>
            <w:r/>
            <w:r>
              <w:rPr>
                <w:rFonts w:ascii="Aptos" w:hAnsi="Aptos"/>
                <w:b w:val="0"/>
                <w:sz w:val="17"/>
              </w:rPr>
              <w:t>Domicilio</w:t>
            </w:r>
          </w:p>
        </w:tc>
        <w:tc>
          <w:tcPr>
            <w:tcW w:type="dxa" w:w="6624"/>
            <w:vAlign w:val="center"/>
            <w:shd w:fill="F5F7FA"/>
          </w:tcPr>
          <w:p>
            <w:pPr>
              <w:spacing w:after="0"/>
            </w:pPr>
            <w:r/>
            <w:r>
              <w:rPr>
                <w:rFonts w:ascii="Aptos" w:hAnsi="Aptos"/>
                <w:b w:val="0"/>
                <w:sz w:val="17"/>
              </w:rPr>
              <w:t>Medellín, Antioquia.</w:t>
            </w:r>
          </w:p>
        </w:tc>
      </w:tr>
      <w:tr>
        <w:tc>
          <w:tcPr>
            <w:tcW w:type="dxa" w:w="3168"/>
            <w:vAlign w:val="center"/>
          </w:tcPr>
          <w:p>
            <w:pPr>
              <w:spacing w:after="0"/>
            </w:pPr>
            <w:r/>
            <w:r>
              <w:rPr>
                <w:rFonts w:ascii="Aptos" w:hAnsi="Aptos"/>
                <w:b w:val="0"/>
                <w:sz w:val="17"/>
              </w:rPr>
              <w:t>Duración</w:t>
            </w:r>
          </w:p>
        </w:tc>
        <w:tc>
          <w:tcPr>
            <w:tcW w:type="dxa" w:w="6624"/>
            <w:vAlign w:val="center"/>
          </w:tcPr>
          <w:p>
            <w:r>
              <w:t>Sociedad: indefinida. Acuerdo de fundadores y de accionistas: periodos de 10 años, renovables conforme a la Ley 1258 de 2008.</w:t>
            </w:r>
          </w:p>
        </w:tc>
      </w:tr>
      <w:tr>
        <w:tc>
          <w:tcPr>
            <w:tcW w:type="dxa" w:w="3168"/>
            <w:vAlign w:val="center"/>
            <w:shd w:fill="F5F7FA"/>
          </w:tcPr>
          <w:p>
            <w:pPr>
              <w:spacing w:after="0"/>
            </w:pPr>
            <w:r/>
            <w:r>
              <w:rPr>
                <w:rFonts w:ascii="Aptos" w:hAnsi="Aptos"/>
                <w:b w:val="0"/>
                <w:sz w:val="17"/>
              </w:rPr>
              <w:t>Acuerdo de accionistas</w:t>
            </w:r>
          </w:p>
        </w:tc>
        <w:tc>
          <w:tcPr>
            <w:tcW w:type="dxa" w:w="6624"/>
            <w:vAlign w:val="center"/>
            <w:shd w:fill="F5F7FA"/>
          </w:tcPr>
          <w:p>
            <w:pPr>
              <w:spacing w:after="0"/>
            </w:pPr>
            <w:r/>
            <w:r>
              <w:rPr>
                <w:rFonts w:ascii="Aptos" w:hAnsi="Aptos"/>
                <w:b w:val="0"/>
                <w:sz w:val="17"/>
              </w:rPr>
              <w:t>Obligatorio y depositado conforme al artículo 24 de la Ley 1258 de 2008.</w:t>
            </w:r>
          </w:p>
        </w:tc>
      </w:tr>
      <w:tr>
        <w:tc>
          <w:tcPr>
            <w:tcW w:type="dxa" w:w="3168"/>
            <w:vAlign w:val="center"/>
          </w:tcPr>
          <w:p>
            <w:pPr>
              <w:spacing w:after="0"/>
            </w:pPr>
            <w:r/>
            <w:r>
              <w:rPr>
                <w:rFonts w:ascii="Aptos" w:hAnsi="Aptos"/>
                <w:b w:val="0"/>
                <w:sz w:val="17"/>
              </w:rPr>
              <w:t>Cuenta y contabilidad</w:t>
            </w:r>
          </w:p>
        </w:tc>
        <w:tc>
          <w:tcPr>
            <w:tcW w:type="dxa" w:w="6624"/>
            <w:vAlign w:val="center"/>
          </w:tcPr>
          <w:p>
            <w:pPr>
              <w:spacing w:after="0"/>
            </w:pPr>
            <w:r/>
            <w:r>
              <w:rPr>
                <w:rFonts w:ascii="Aptos" w:hAnsi="Aptos"/>
                <w:b w:val="0"/>
                <w:sz w:val="17"/>
              </w:rPr>
              <w:t>Separadas de las personales.</w:t>
            </w:r>
          </w:p>
        </w:tc>
      </w:tr>
      <w:tr>
        <w:tc>
          <w:tcPr>
            <w:tcW w:type="dxa" w:w="3168"/>
            <w:vAlign w:val="center"/>
            <w:shd w:fill="F5F7FA"/>
          </w:tcPr>
          <w:p>
            <w:pPr>
              <w:spacing w:after="0"/>
            </w:pPr>
            <w:r/>
            <w:r>
              <w:rPr>
                <w:rFonts w:ascii="Aptos" w:hAnsi="Aptos"/>
                <w:b w:val="0"/>
                <w:sz w:val="17"/>
              </w:rPr>
              <w:t>Activos personales</w:t>
            </w:r>
          </w:p>
        </w:tc>
        <w:tc>
          <w:tcPr>
            <w:tcW w:type="dxa" w:w="6624"/>
            <w:vAlign w:val="center"/>
            <w:shd w:fill="F5F7FA"/>
          </w:tcPr>
          <w:p>
            <w:pPr>
              <w:spacing w:after="0"/>
            </w:pPr>
            <w:r/>
            <w:r>
              <w:rPr>
                <w:rFonts w:ascii="Aptos" w:hAnsi="Aptos"/>
                <w:b w:val="0"/>
                <w:sz w:val="17"/>
              </w:rPr>
              <w:t>Solo se aportan o licencian por escrito.</w:t>
            </w:r>
          </w:p>
        </w:tc>
      </w:tr>
      <w:tr>
        <w:tc>
          <w:tcPr>
            <w:tcW w:type="dxa" w:w="3168"/>
            <w:vAlign w:val="center"/>
          </w:tcPr>
          <w:p>
            <w:pPr>
              <w:spacing w:after="0"/>
            </w:pPr>
            <w:r/>
            <w:r>
              <w:rPr>
                <w:rFonts w:ascii="Aptos" w:hAnsi="Aptos"/>
                <w:b w:val="0"/>
                <w:sz w:val="17"/>
              </w:rPr>
              <w:t>FELIPEGIL360</w:t>
            </w:r>
          </w:p>
        </w:tc>
        <w:tc>
          <w:tcPr>
            <w:tcW w:type="dxa" w:w="6624"/>
            <w:vAlign w:val="center"/>
          </w:tcPr>
          <w:p>
            <w:pPr>
              <w:spacing w:after="0"/>
            </w:pPr>
            <w:r/>
            <w:r>
              <w:rPr>
                <w:rFonts w:ascii="Aptos" w:hAnsi="Aptos"/>
                <w:b w:val="0"/>
                <w:sz w:val="17"/>
              </w:rPr>
              <w:t>Marca o unidad de negocio, no necesariamente razón social.</w:t>
            </w:r>
          </w:p>
        </w:tc>
      </w:tr>
    </w:tbl>
    <w:p/>
    <w:p>
      <w:r>
        <w:br w:type="page"/>
      </w:r>
    </w:p>
    <w:p>
      <w:pPr>
        <w:pStyle w:val="Heading1"/>
      </w:pPr>
      <w:r>
        <w:t>LECTURA, CONSENTIMIENTO Y FIRMA ÚNICA</w:t>
      </w:r>
    </w:p>
    <w:p>
      <w:r>
        <w:t>Las partes declaran que recibieron el documento con oportunidad suficiente para leerlo, compararlo con versiones anteriores, solicitar cambios, revisar los soportes principales y obtener asesoría jurídica y contable independiente. Comprenden que esta firma cubre el contrato principal y los Anexos 1 a 5 como un solo instrumento.</w:t>
      </w:r>
    </w:p>
    <w:p>
      <w:pPr/>
      <w:r>
        <w:t>Antes de firmar, cada parte deberá marcar su decisión sobre asesoría, indicar las modificaciones que propuso, confirmar su comprensión de la naturaleza empresarial y de la ausencia de ingresos garantizados, y declarar que no existen promesas paralelas, presiones o condiciones no escritas. Las salvedades conservan plena validez si se describen concretamente.</w:t>
      </w:r>
    </w:p>
    <w:p>
      <w:pPr/>
      <w:r>
        <w:t>Estas declaraciones sirven como evidencia del proceso de formación del consentimiento y de la comprensión del modelo económico; no sustituyen la realidad de los hechos ni validan una conducta prohibida por la ley.</w:t>
      </w:r>
    </w:p>
    <w:p>
      <w:pPr/>
      <w:r>
        <w:t>Las partes entienden que el Proyecto separa construcción, recuperación y ganancias maduras; que los mecanismos de primera oportunidad, Good Leaver/Bad Leaver, earn-out, regalías, valoración preventiva, reserva y anti-elusión buscan preservar el valor común y facilitar soluciones de mercado. No constituyen castigos encubiertos, prohibiciones de trabajar, confiscaciones ni autorizaciones para descontar cifras controvertidas.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C304A"/>
            <w:vAlign w:val="center"/>
          </w:tcPr>
          <w:p>
            <w:pPr>
              <w:spacing w:after="0"/>
            </w:pPr>
            <w:r/>
            <w:r>
              <w:rPr>
                <w:rFonts w:ascii="Aptos" w:hAnsi="Aptos"/>
                <w:b/>
                <w:color w:val="FFFFFF"/>
                <w:sz w:val="17"/>
              </w:rPr>
              <w:t>Parte</w:t>
            </w:r>
          </w:p>
        </w:tc>
        <w:tc>
          <w:tcPr>
            <w:tcW w:type="dxa" w:w="2592"/>
            <w:shd w:fill="1C304A"/>
            <w:vAlign w:val="center"/>
          </w:tcPr>
          <w:p>
            <w:pPr>
              <w:spacing w:after="0"/>
            </w:pPr>
            <w:r/>
            <w:r>
              <w:rPr>
                <w:rFonts w:ascii="Aptos" w:hAnsi="Aptos"/>
                <w:b/>
                <w:color w:val="FFFFFF"/>
                <w:sz w:val="17"/>
              </w:rPr>
              <w:t>Fecha de recepción</w:t>
            </w:r>
          </w:p>
        </w:tc>
        <w:tc>
          <w:tcPr>
            <w:tcW w:type="dxa" w:w="5472"/>
            <w:shd w:fill="1C304A"/>
            <w:vAlign w:val="center"/>
          </w:tcPr>
          <w:p>
            <w:pPr>
              <w:spacing w:after="0"/>
            </w:pPr>
            <w:r/>
            <w:r>
              <w:rPr>
                <w:rFonts w:ascii="Aptos" w:hAnsi="Aptos"/>
                <w:b/>
                <w:color w:val="FFFFFF"/>
                <w:sz w:val="17"/>
              </w:rPr>
              <w:t>Asesoría</w:t>
            </w:r>
          </w:p>
        </w:tc>
      </w:tr>
      <w:tr>
        <w:tc>
          <w:tcPr>
            <w:tcW w:type="dxa" w:w="1728"/>
            <w:vAlign w:val="center"/>
          </w:tcPr>
          <w:p>
            <w:pPr>
              <w:spacing w:after="0"/>
            </w:pPr>
            <w:r/>
            <w:r>
              <w:rPr>
                <w:rFonts w:ascii="Aptos" w:hAnsi="Aptos"/>
                <w:b w:val="0"/>
                <w:sz w:val="17"/>
              </w:rPr>
              <w:t>Andrés</w:t>
            </w:r>
          </w:p>
        </w:tc>
        <w:tc>
          <w:tcPr>
            <w:tcW w:type="dxa" w:w="2592"/>
            <w:vAlign w:val="center"/>
          </w:tcPr>
          <w:p>
            <w:pPr>
              <w:spacing w:after="0"/>
            </w:pPr>
            <w:r/>
            <w:r>
              <w:rPr>
                <w:rFonts w:ascii="Aptos" w:hAnsi="Aptos"/>
                <w:b w:val="0"/>
                <w:sz w:val="17"/>
              </w:rPr>
              <w:t>________________</w:t>
            </w:r>
          </w:p>
        </w:tc>
        <w:tc>
          <w:tcPr>
            <w:tcW w:type="dxa" w:w="5472"/>
            <w:vAlign w:val="center"/>
          </w:tcPr>
          <w:p>
            <w:pPr>
              <w:spacing w:after="0"/>
            </w:pPr>
            <w:r/>
            <w:r>
              <w:rPr>
                <w:rFonts w:ascii="Aptos" w:hAnsi="Aptos"/>
                <w:b w:val="0"/>
                <w:sz w:val="17"/>
              </w:rPr>
              <w:t>☐ Recibió asesoría  ☐ Decidió firmar sin asesoría</w:t>
            </w:r>
          </w:p>
        </w:tc>
      </w:tr>
      <w:tr>
        <w:tc>
          <w:tcPr>
            <w:tcW w:type="dxa" w:w="1728"/>
            <w:vAlign w:val="center"/>
            <w:shd w:fill="F5F7FA"/>
          </w:tcPr>
          <w:p>
            <w:pPr>
              <w:spacing w:after="0"/>
            </w:pPr>
            <w:r/>
            <w:r>
              <w:rPr>
                <w:rFonts w:ascii="Aptos" w:hAnsi="Aptos"/>
                <w:b w:val="0"/>
                <w:sz w:val="17"/>
              </w:rPr>
              <w:t>Felipe</w:t>
            </w:r>
          </w:p>
        </w:tc>
        <w:tc>
          <w:tcPr>
            <w:tcW w:type="dxa" w:w="2592"/>
            <w:vAlign w:val="center"/>
            <w:shd w:fill="F5F7FA"/>
          </w:tcPr>
          <w:p>
            <w:pPr>
              <w:spacing w:after="0"/>
            </w:pPr>
            <w:r/>
            <w:r>
              <w:rPr>
                <w:rFonts w:ascii="Aptos" w:hAnsi="Aptos"/>
                <w:b w:val="0"/>
                <w:sz w:val="17"/>
              </w:rPr>
              <w:t>________________</w:t>
            </w:r>
          </w:p>
        </w:tc>
        <w:tc>
          <w:tcPr>
            <w:tcW w:type="dxa" w:w="5472"/>
            <w:vAlign w:val="center"/>
            <w:shd w:fill="F5F7FA"/>
          </w:tcPr>
          <w:p>
            <w:pPr>
              <w:spacing w:after="0"/>
            </w:pPr>
            <w:r/>
            <w:r>
              <w:rPr>
                <w:rFonts w:ascii="Aptos" w:hAnsi="Aptos"/>
                <w:b w:val="0"/>
                <w:sz w:val="17"/>
              </w:rPr>
              <w:t>☐ Recibió asesoría  ☐ Decidió firmar sin asesoría</w:t>
            </w:r>
          </w:p>
        </w:tc>
      </w:tr>
    </w:tbl>
    <w:p/>
    <w:p>
      <w:pPr>
        <w:pStyle w:val="Heading2"/>
      </w:pPr>
      <w:r>
        <w:t>REGISTRO BREVE DE NEGOCIACIÓN</w:t>
      </w:r>
    </w:p>
    <w:p>
      <w:pPr/>
      <w:r>
        <w:t>Versión recibida inicialmente: ____________________    Fecha: ____________________</w:t>
      </w:r>
    </w:p>
    <w:p>
      <w:pPr/>
      <w:r>
        <w:t>Cambios o aclaraciones propuestos por Andrés: ______________________________________________</w:t>
      </w:r>
    </w:p>
    <w:p>
      <w:pPr/>
      <w:r>
        <w:t>Cambios o aclaraciones propuestos por Felipe: ______________________________________________</w:t>
      </w:r>
    </w:p>
    <w:p>
      <w:pPr/>
      <w:r>
        <w:t>Fecha de entrega de la versión final: ____________________</w:t>
      </w:r>
    </w:p>
    <w:p>
      <w:pPr/>
      <w:r>
        <w:t>Documentos o soportes principales revisados: ______________________________________________</w:t>
      </w:r>
    </w:p>
    <w:p>
      <w:pPr>
        <w:pStyle w:val="Heading2"/>
      </w:pPr>
      <w:r>
        <w:t>SALVEDADES</w:t>
      </w:r>
    </w:p>
    <w:p>
      <w:r>
        <w:t>☐ No existen salvedades adicionales.</w:t>
      </w:r>
    </w:p>
    <w:p>
      <w:r>
        <w:t>☐ Existen las siguientes salvedades, que hacen parte de la firma:</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RATIFICACIONES ESPECÍFICAS</w:t>
      </w:r>
    </w:p>
    <w:p>
      <w:pPr/>
      <w:r>
        <w:t>☐ Comprendo que ambos mantenemos actividades profesionales principales independientes y que el Proyecto se desarrolla con dedicación parcial y autonomía.</w:t>
      </w:r>
    </w:p>
    <w:p>
      <w:pPr/>
      <w:r>
        <w:t>☐ Comprendo que los planes operativos fijan resultados y fechas acordadas, no jornadas laborales, permisos personales ni control disciplinario.</w:t>
      </w:r>
    </w:p>
    <w:p>
      <w:pPr/>
      <w:r>
        <w:t>☐ Comprendo la separación entre construcción, recuperación y diez años completos de utilidades maduras.</w:t>
      </w:r>
    </w:p>
    <w:p>
      <w:pPr/>
      <w:r>
        <w:t>☐ Comprendo el CEF provisional, su conciliación periódica y el procedimiento para formular objeciones.</w:t>
      </w:r>
    </w:p>
    <w:p>
      <w:pPr/>
      <w:r>
        <w:t>☐ Comprendo las reglas de Buy-Out, earn-out, goodwill, cartera, canales derivados y actividades independientes.</w:t>
      </w:r>
    </w:p>
    <w:p>
      <w:pPr/>
      <w:r>
        <w:t>☐ Comprendo las obligaciones de confidencialidad, protección de datos personales y uso restringido de bases de datos.</w:t>
      </w:r>
    </w:p>
    <w:p>
      <w:pPr/>
      <w:r>
        <w:t>☐ Reconozco que las conversaciones anteriores no modifican el texto final, aunque puedan probar hechos históricos.</w:t>
      </w:r>
    </w:p>
    <w:p>
      <w:pPr/>
      <w:r>
        <w:t>☐ Confirmo que pude proponer cambios, pedir soportes, asesorarme o decidir no firmar.</w:t>
      </w:r>
    </w:p>
    <w:p>
      <w:pPr/>
      <w:r>
        <w:t>☐ Confirmo que no conozco promesas, presiones o acuerdos paralelos distintos de las salvedades escritas.</w:t>
      </w:r>
    </w:p>
    <w:p>
      <w:pPr/>
      <w:r>
        <w:t>☐ Comprendo que las proyecciones y expectativas no son garantías de ingresos o éxito, salvo obligación escrita expresa.</w:t>
      </w:r>
    </w:p>
    <w:p>
      <w:pPr/>
      <w:r>
        <w:t>☐ Comprendo que la relación pretende ser empresarial y societaria, con autonomía real y sin subordinación laboral; también comprendo que prevalecerá la realidad de la ejecución.</w:t>
      </w:r>
    </w:p>
    <w:p>
      <w:pPr/>
      <w:r>
        <w:t>☐ Confirmo que participé en la revisión de la versión final o tuve oportunidad real de proponer cambios y salvedades.</w:t>
      </w:r>
    </w:p>
    <w:p>
      <w:pPr>
        <w:pStyle w:val="Heading2"/>
      </w:pPr>
      <w:r>
        <w:t>DECLARACIONES MANUSCRITAS</w:t>
      </w:r>
    </w:p>
    <w:p>
      <w:r>
        <w:t>Andrés copiará de su puño y letra:</w:t>
      </w:r>
    </w:p>
    <w:p>
      <w:pPr>
        <w:pStyle w:val="SmallNote"/>
      </w:pPr>
      <w:r>
        <w:t>“Leí, comprendí y negocié libremente este Acuerdo. Reconozco los aportes de Felipe y que las reglas económicas buscan recuperar la inversión y proteger justamente el valor futuro. Firmo sin presiones.”</w:t>
      </w:r>
    </w:p>
    <w:p>
      <w:r>
        <w:t>________________________________________________________________________________</w:t>
      </w:r>
    </w:p>
    <w:p>
      <w:r>
        <w:t>________________________________________________________________________________</w:t>
      </w:r>
    </w:p>
    <w:p>
      <w:r>
        <w:t>Felipe copiará de su puño y letra:</w:t>
      </w:r>
    </w:p>
    <w:p>
      <w:pPr>
        <w:pStyle w:val="SmallNote"/>
      </w:pPr>
      <w:r>
        <w:t>“Leí, comprendí y negocié libremente este Acuerdo. Reconozco la creación conjunta de valor, la recuperación del CEF y las reglas de los activos empresariales. Firmo sin presiones ni promesas externas.”</w:t>
      </w:r>
    </w:p>
    <w:p>
      <w:r>
        <w:t>________________________________________________________________________________</w:t>
      </w:r>
    </w:p>
    <w:p>
      <w:r>
        <w:t>________________________________________________________________________________</w:t>
      </w:r>
    </w:p>
    <w:p>
      <w:pPr>
        <w:pStyle w:val="Heading2"/>
      </w:pPr>
      <w:r>
        <w:t>FIRMAS</w:t>
      </w:r>
    </w:p>
    <w:tbl>
      <w:tblPr>
        <w:tblStyle w:val="TableGrid"/>
        <w:tblW w:type="auto" w:w="0"/>
        <w:jc w:val="center"/>
        <w:tblLook w:firstColumn="1" w:firstRow="1" w:lastColumn="0" w:lastRow="0" w:noHBand="0" w:noVBand="1" w:val="04A0"/>
      </w:tblPr>
      <w:tblGrid>
        <w:gridCol w:w="4896"/>
        <w:gridCol w:w="4896"/>
      </w:tblGrid>
      <w:tr>
        <w:trPr>
          <w:cantSplit/>
        </w:trPr>
        <w:tc>
          <w:tcPr>
            <w:tcW w:type="dxa" w:w="4608"/>
            <w:shd w:fill="FFFFFF"/>
            <w:vAlign w:val="center"/>
          </w:tcPr>
          <w:p>
            <w:pPr>
              <w:spacing w:after="0"/>
              <w:jc w:val="center"/>
            </w:pPr>
            <w:r>
              <w:rPr>
                <w:sz w:val="17"/>
              </w:rPr>
            </w:r>
            <w:r>
              <w:rPr>
                <w:rFonts w:ascii="Aptos" w:hAnsi="Aptos"/>
                <w:b w:val="0"/>
                <w:sz w:val="17"/>
              </w:rPr>
              <w:br/>
              <w:br/>
              <w:t>____________________________________</w:t>
            </w:r>
          </w:p>
        </w:tc>
        <w:tc>
          <w:tcPr>
            <w:tcW w:type="dxa" w:w="4608"/>
            <w:shd w:fill="FFFFFF"/>
            <w:vAlign w:val="center"/>
          </w:tcPr>
          <w:p>
            <w:pPr>
              <w:spacing w:after="0"/>
              <w:jc w:val="center"/>
            </w:pPr>
            <w:r>
              <w:rPr>
                <w:sz w:val="17"/>
              </w:rPr>
            </w:r>
            <w:r>
              <w:rPr>
                <w:rFonts w:ascii="Aptos" w:hAnsi="Aptos"/>
                <w:b w:val="0"/>
                <w:sz w:val="17"/>
              </w:rPr>
              <w:br/>
              <w:br/>
              <w:t>____________________________________</w:t>
            </w:r>
          </w:p>
        </w:tc>
      </w:tr>
      <w:tr>
        <w:trPr>
          <w:cantSplit/>
        </w:trPr>
        <w:tc>
          <w:tcPr>
            <w:tcW w:type="dxa" w:w="4608"/>
            <w:vAlign w:val="center"/>
          </w:tcPr>
          <w:p>
            <w:pPr>
              <w:spacing w:after="0"/>
              <w:jc w:val="center"/>
            </w:pPr>
            <w:r>
              <w:rPr>
                <w:rFonts w:ascii="Aptos" w:hAnsi="Aptos"/>
                <w:b/>
                <w:sz w:val="17"/>
              </w:rPr>
              <w:t>ANDRÉS DAVID MEJÍA HERRERA</w:t>
              <w:br/>
              <w:t>C.C. 1035425065 de Copacabana</w:t>
            </w:r>
          </w:p>
        </w:tc>
        <w:tc>
          <w:tcPr>
            <w:tcW w:type="dxa" w:w="4608"/>
            <w:vAlign w:val="center"/>
          </w:tcPr>
          <w:p>
            <w:pPr>
              <w:spacing w:after="0"/>
              <w:jc w:val="center"/>
            </w:pPr>
            <w:r>
              <w:rPr>
                <w:rFonts w:ascii="Aptos" w:hAnsi="Aptos"/>
                <w:b/>
                <w:sz w:val="17"/>
              </w:rPr>
              <w:t>LUIS FELIPE GIL BETANCUR</w:t>
              <w:br/>
              <w:t>C.C. 1026152827 de Itagüí</w:t>
            </w:r>
          </w:p>
        </w:tc>
      </w:tr>
      <w:tr>
        <w:trPr>
          <w:cantSplit/>
        </w:trPr>
        <w:tc>
          <w:tcPr>
            <w:tcW w:type="dxa" w:w="4608"/>
            <w:shd w:fill="FFFFFF"/>
            <w:vAlign w:val="center"/>
          </w:tcPr>
          <w:p>
            <w:pPr>
              <w:spacing w:after="0"/>
              <w:jc w:val="center"/>
            </w:pPr>
            <w:r>
              <w:rPr>
                <w:sz w:val="17"/>
              </w:rPr>
            </w:r>
            <w:r>
              <w:rPr>
                <w:rFonts w:ascii="Aptos" w:hAnsi="Aptos"/>
                <w:b w:val="0"/>
                <w:sz w:val="17"/>
              </w:rPr>
              <w:br/>
              <w:br/>
              <w:t>____________________________________</w:t>
            </w:r>
          </w:p>
        </w:tc>
        <w:tc>
          <w:tcPr>
            <w:tcW w:type="dxa" w:w="4608"/>
            <w:shd w:fill="FFFFFF"/>
            <w:vAlign w:val="center"/>
          </w:tcPr>
          <w:p>
            <w:pPr>
              <w:spacing w:after="0"/>
              <w:jc w:val="center"/>
            </w:pPr>
            <w:r>
              <w:rPr>
                <w:sz w:val="17"/>
              </w:rPr>
            </w:r>
            <w:r>
              <w:rPr>
                <w:rFonts w:ascii="Aptos" w:hAnsi="Aptos"/>
                <w:b w:val="0"/>
                <w:sz w:val="17"/>
              </w:rPr>
              <w:br/>
              <w:br/>
              <w:t>____________________________________</w:t>
            </w:r>
          </w:p>
        </w:tc>
      </w:tr>
      <w:tr>
        <w:trPr>
          <w:cantSplit/>
        </w:trPr>
        <w:tc>
          <w:tcPr>
            <w:tcW w:type="dxa" w:w="4608"/>
            <w:vAlign w:val="center"/>
          </w:tcPr>
          <w:p>
            <w:pPr>
              <w:spacing w:after="0"/>
              <w:jc w:val="center"/>
            </w:pPr>
            <w:r>
              <w:rPr>
                <w:rFonts w:ascii="Aptos" w:hAnsi="Aptos"/>
                <w:sz w:val="17"/>
              </w:rPr>
              <w:t>TESTIGO DE ANDRÉS (opcional)</w:t>
              <w:br/>
              <w:t>Nombre: __________________</w:t>
              <w:br/>
              <w:t>C.C.: ____________________</w:t>
            </w:r>
          </w:p>
        </w:tc>
        <w:tc>
          <w:tcPr>
            <w:tcW w:type="dxa" w:w="4608"/>
            <w:vAlign w:val="center"/>
          </w:tcPr>
          <w:p>
            <w:pPr>
              <w:spacing w:after="0"/>
              <w:jc w:val="center"/>
            </w:pPr>
            <w:r>
              <w:rPr>
                <w:rFonts w:ascii="Aptos" w:hAnsi="Aptos"/>
                <w:sz w:val="17"/>
              </w:rPr>
              <w:t>TESTIGO DE FELIPE (opcional)</w:t>
              <w:br/>
              <w:t>Nombre: __________________</w:t>
              <w:br/>
              <w:t>C.C.: ____________________</w:t>
            </w:r>
          </w:p>
        </w:tc>
      </w:tr>
    </w:tbl>
    <w:p/>
    <w:p>
      <w:pPr>
        <w:pStyle w:val="Heading2"/>
      </w:pPr>
      <w:r>
        <w:t>RECONOCIMIENTO NOTARIAL</w:t>
      </w:r>
    </w:p>
    <w:p>
      <w:r>
        <w:t>Las partes solicitan reconocimiento de firma y contenido del presente documento privado integrado, compuesto por el contrato principal, cinco anexos y esta sección de firmas.</w:t>
      </w:r>
    </w:p>
    <w:p>
      <w:r>
        <w:t>Notaría: ______________________________________________</w:t>
      </w:r>
    </w:p>
    <w:p>
      <w:r>
        <w:t>Ciudad y fecha: ________________________________________</w:t>
      </w:r>
    </w:p>
    <w:p>
      <w:r>
        <w:t xml:space="preserve">Constancia notarial: </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Heading1"/>
      </w:pPr>
      <w:r>
        <w:t>DOCUMENTO QUE NO DEBE FIRMARSE TODAVÍA</w:t>
      </w:r>
    </w:p>
    <w:p>
      <w:r>
        <w:t>El Acta de Certificación de Recuperación Fundacional y Apertura del Periodo Económico Maduro no hace parte de la firma inicial. Se firmará cuando concurran las condiciones de la Cláusula 9. Esa acta fija la Fecha de Liberación Fundacional y da inicio a los diez (10) años completos de distribución 55 % / 45 %.</w:t>
      </w:r>
    </w:p>
    <w:p>
      <w:pPr>
        <w:pStyle w:val="Heading1"/>
      </w:pPr>
      <w:r>
        <w:t>CARPETA DE EVIDENCIAS</w:t>
      </w:r>
    </w:p>
    <w:p>
      <w:r>
        <w:t>Las partes conservarán, física o digitalmente, los siguientes soportes sin necesidad de incorporarlos materialmente a este documento:</w:t>
      </w:r>
    </w:p>
    <w:p>
      <w:pPr>
        <w:pStyle w:val="ListBullet"/>
        <w:spacing w:after="40"/>
        <w:ind w:left="317" w:hanging="173"/>
      </w:pPr>
      <w:r>
        <w:t>Comprobantes de pagos, extractos, facturas y documentos del Yacar.</w:t>
      </w:r>
    </w:p>
    <w:p>
      <w:pPr>
        <w:pStyle w:val="ListBullet"/>
        <w:spacing w:after="40"/>
        <w:ind w:left="317" w:hanging="173"/>
      </w:pPr>
      <w:r>
        <w:t>Contratos, mensajes, propuestas y entregables de patrocinadores.</w:t>
      </w:r>
    </w:p>
    <w:p>
      <w:pPr>
        <w:pStyle w:val="ListBullet"/>
        <w:spacing w:after="40"/>
        <w:ind w:left="317" w:hanging="173"/>
      </w:pPr>
      <w:r>
        <w:t>Métricas, analíticas, capturas y registros de redes.</w:t>
      </w:r>
    </w:p>
    <w:p>
      <w:pPr>
        <w:pStyle w:val="ListBullet"/>
        <w:spacing w:after="40"/>
        <w:ind w:left="317" w:hanging="173"/>
      </w:pPr>
      <w:r>
        <w:t>Archivos audiovisuales, proyectos de edición y respaldos.</w:t>
      </w:r>
    </w:p>
    <w:p>
      <w:pPr>
        <w:pStyle w:val="ListBullet"/>
        <w:spacing w:after="40"/>
        <w:ind w:left="317" w:hanging="173"/>
      </w:pPr>
      <w:r>
        <w:t>Inventarios de equipos, productos y contenidos.</w:t>
      </w:r>
    </w:p>
    <w:p>
      <w:pPr>
        <w:pStyle w:val="ListBullet"/>
        <w:spacing w:after="40"/>
        <w:ind w:left="317" w:hanging="173"/>
      </w:pPr>
      <w:r>
        <w:t>Registros de horas y actividades.</w:t>
      </w:r>
    </w:p>
    <w:p>
      <w:pPr>
        <w:pStyle w:val="ListBullet"/>
        <w:spacing w:after="40"/>
        <w:ind w:left="317" w:hanging="173"/>
      </w:pPr>
      <w:r>
        <w:t>Actas posteriores, valoraciones, informes y estados financieros.</w:t>
      </w:r>
    </w:p>
    <w:p/>
    <w:p>
      <w:pPr>
        <w:pStyle w:val="SmallNote"/>
        <w:jc w:val="center"/>
      </w:pPr>
      <w:r>
        <w:t>Nota de prudencia: este documento resume una relación empresarial compleja. Antes de firmar, se recomienda revisión por abogado colombiano independiente de cada parte y validación contable del CEF y del Yacar.</w:t>
      </w:r>
    </w:p>
    <w:sectPr w:rsidR="00FC693F" w:rsidRPr="0006063C" w:rsidSect="00034616">
      <w:headerReference w:type="default" r:id="rId9"/>
      <w:footerReference w:type="default" r:id="rId10"/>
      <w:pgSz w:w="12240" w:h="15840"/>
      <w:pgMar w:top="1080" w:right="1152" w:bottom="1008"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Rúbrica Andrés: __________    Rúbrica Felipe: __________    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C304A"/>
        <w:sz w:val="16"/>
      </w:rPr>
      <w:t>INVERSIONES RACING 360 | ACUERDO DE FUNDADORES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C30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2587E"/>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C30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C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keepNext/>
      <w:spacing w:before="200" w:after="80"/>
    </w:pPr>
    <w:rPr>
      <w:rFonts w:ascii="Aptos Display" w:hAnsi="Aptos Display"/>
      <w:b/>
      <w:color w:val="1C304A"/>
      <w:sz w:val="23"/>
    </w:rPr>
  </w:style>
  <w:style w:type="paragraph" w:customStyle="1" w:styleId="SmallNote">
    <w:name w:val="Small Note"/>
    <w:pPr>
      <w:spacing w:after="60" w:line="240" w:lineRule="auto"/>
    </w:pPr>
    <w:rPr>
      <w:rFonts w:ascii="Aptos" w:hAnsi="Aptos"/>
      <w:color w:val="5A5A5A"/>
      <w:sz w:val="17"/>
    </w:rPr>
  </w:style>
  <w:style w:type="paragraph" w:customStyle="1" w:styleId="Signature">
    <w:name w:val="Signature"/>
    <w:pPr>
      <w:spacing w:before="160" w:after="4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Fundadores - Versión 36</dc:title>
  <dc:subject>Documento notarial simplificado</dc:subject>
  <dc:creator>Andrés David Mejía Herrera y Luis Felipe Gil Betancur</dc:creator>
  <cp:keywords/>
  <dc:description>Añade protección de datos personales, confidencialidad, acta de cierre financiero del Yacar y declaraciones manuscritas breves.</dc:description>
  <cp:lastModifiedBy/>
  <cp:revision>1</cp:revision>
  <dcterms:created xsi:type="dcterms:W3CDTF">2013-12-23T23:15:00Z</dcterms:created>
  <dcterms:modified xsi:type="dcterms:W3CDTF">2013-12-23T23:15:00Z</dcterms:modified>
  <cp:category/>
</cp:coreProperties>
</file>