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المواصفات الفنية والتنفيذية التفصيلية</w:t>
      </w:r>
    </w:p>
    <w:p>
      <w:pPr>
        <w:jc w:val="center"/>
      </w:pPr>
      <w:r>
        <w:rPr>
          <w:rFonts w:ascii="Arial" w:hAnsi="Arial"/>
          <w:b/>
          <w:sz w:val="36"/>
        </w:rPr>
        <w:t>منصة السوق الإلكتروني للخدمات والسفر وإدارة الوكالة</w:t>
      </w:r>
    </w:p>
    <w:p>
      <w:pPr>
        <w:jc w:val="center"/>
      </w:pPr>
      <w:r>
        <w:rPr>
          <w:rFonts w:ascii="Arial" w:hAnsi="Arial"/>
          <w:sz w:val="24"/>
        </w:rPr>
        <w:t>وثيقة متطلبات البرمجيات (SRS)</w:t>
      </w:r>
    </w:p>
    <w:p>
      <w:pPr>
        <w:jc w:val="center"/>
      </w:pPr>
      <w:r>
        <w:rPr>
          <w:rFonts w:ascii="Arial" w:hAnsi="Arial"/>
          <w:sz w:val="24"/>
        </w:rPr>
        <w:t>Functional Specification</w:t>
      </w:r>
    </w:p>
    <w:p>
      <w:pPr>
        <w:jc w:val="center"/>
      </w:pPr>
      <w:r>
        <w:rPr>
          <w:rFonts w:ascii="Arial" w:hAnsi="Arial"/>
          <w:sz w:val="24"/>
        </w:rPr>
        <w:t>الإصدار 2.0</w:t>
      </w:r>
    </w:p>
    <w:p>
      <w:pPr>
        <w:jc w:val="center"/>
      </w:pPr>
      <w:r>
        <w:rPr>
          <w:rFonts w:ascii="Arial" w:hAnsi="Arial"/>
          <w:sz w:val="24"/>
        </w:rPr>
        <w:t>وثيقة جاهزة للطرح على شركات البرمجة</w:t>
      </w:r>
    </w:p>
    <w:p>
      <w:r>
        <w:br w:type="page"/>
      </w:r>
    </w:p>
    <w:p>
      <w:pPr>
        <w:pStyle w:val="Heading1"/>
        <w:spacing w:after="100"/>
        <w:jc w:val="right"/>
      </w:pPr>
      <w:r>
        <w:rPr>
          <w:rFonts w:ascii="Arial" w:hAnsi="Arial"/>
          <w:b w:val="0"/>
        </w:rPr>
        <w:t>فهرس الوثيقة</w:t>
      </w:r>
    </w:p>
    <w:p>
      <w:pPr>
        <w:pStyle w:val="ListBullet"/>
        <w:spacing w:after="40"/>
        <w:jc w:val="right"/>
      </w:pPr>
      <w:r>
        <w:rPr>
          <w:rFonts w:ascii="Arial" w:hAnsi="Arial"/>
          <w:sz w:val="21"/>
        </w:rPr>
        <w:t>1. الملخص التنفيذي</w:t>
      </w:r>
    </w:p>
    <w:p>
      <w:pPr>
        <w:pStyle w:val="ListBullet"/>
        <w:spacing w:after="40"/>
        <w:jc w:val="right"/>
      </w:pPr>
      <w:r>
        <w:rPr>
          <w:rFonts w:ascii="Arial" w:hAnsi="Arial"/>
          <w:sz w:val="21"/>
        </w:rPr>
        <w:t>2. الرؤية العامة</w:t>
      </w:r>
    </w:p>
    <w:p>
      <w:pPr>
        <w:pStyle w:val="ListBullet"/>
        <w:spacing w:after="40"/>
        <w:jc w:val="right"/>
      </w:pPr>
      <w:r>
        <w:rPr>
          <w:rFonts w:ascii="Arial" w:hAnsi="Arial"/>
          <w:sz w:val="21"/>
        </w:rPr>
        <w:t>3. الأطراف الرئيسية للنظام</w:t>
      </w:r>
    </w:p>
    <w:p>
      <w:pPr>
        <w:pStyle w:val="ListBullet"/>
        <w:spacing w:after="40"/>
        <w:jc w:val="right"/>
      </w:pPr>
      <w:r>
        <w:rPr>
          <w:rFonts w:ascii="Arial" w:hAnsi="Arial"/>
          <w:sz w:val="21"/>
        </w:rPr>
        <w:t>4. الهيكل الوظيفي للنظام</w:t>
      </w:r>
    </w:p>
    <w:p>
      <w:pPr>
        <w:pStyle w:val="ListBullet"/>
        <w:spacing w:after="40"/>
        <w:jc w:val="right"/>
      </w:pPr>
      <w:r>
        <w:rPr>
          <w:rFonts w:ascii="Arial" w:hAnsi="Arial"/>
          <w:sz w:val="21"/>
        </w:rPr>
        <w:t>5. الواجهة العامة للموقع</w:t>
      </w:r>
    </w:p>
    <w:p>
      <w:pPr>
        <w:pStyle w:val="ListBullet"/>
        <w:spacing w:after="40"/>
        <w:jc w:val="right"/>
      </w:pPr>
      <w:r>
        <w:rPr>
          <w:rFonts w:ascii="Arial" w:hAnsi="Arial"/>
          <w:sz w:val="21"/>
        </w:rPr>
        <w:t>6. التسجيل والدخول وحساب العميل</w:t>
      </w:r>
    </w:p>
    <w:p>
      <w:pPr>
        <w:pStyle w:val="ListBullet"/>
        <w:spacing w:after="40"/>
        <w:jc w:val="right"/>
      </w:pPr>
      <w:r>
        <w:rPr>
          <w:rFonts w:ascii="Arial" w:hAnsi="Arial"/>
          <w:sz w:val="21"/>
        </w:rPr>
        <w:t>7. سوق الخدمات ومحرك البحث</w:t>
      </w:r>
    </w:p>
    <w:p>
      <w:pPr>
        <w:pStyle w:val="ListBullet"/>
        <w:spacing w:after="40"/>
        <w:jc w:val="right"/>
      </w:pPr>
      <w:r>
        <w:rPr>
          <w:rFonts w:ascii="Arial" w:hAnsi="Arial"/>
          <w:sz w:val="21"/>
        </w:rPr>
        <w:t>8. الطلبات والسلة وإتمام الشراء</w:t>
      </w:r>
    </w:p>
    <w:p>
      <w:pPr>
        <w:pStyle w:val="ListBullet"/>
        <w:spacing w:after="40"/>
        <w:jc w:val="right"/>
      </w:pPr>
      <w:r>
        <w:rPr>
          <w:rFonts w:ascii="Arial" w:hAnsi="Arial"/>
          <w:sz w:val="21"/>
        </w:rPr>
        <w:t>9. الطيران والفنادق والتأشيرات</w:t>
      </w:r>
    </w:p>
    <w:p>
      <w:pPr>
        <w:pStyle w:val="ListBullet"/>
        <w:spacing w:after="40"/>
        <w:jc w:val="right"/>
      </w:pPr>
      <w:r>
        <w:rPr>
          <w:rFonts w:ascii="Arial" w:hAnsi="Arial"/>
          <w:sz w:val="21"/>
        </w:rPr>
        <w:t>10. الدفع الإلكتروني والفواتير</w:t>
      </w:r>
    </w:p>
    <w:p>
      <w:pPr>
        <w:pStyle w:val="ListBullet"/>
        <w:spacing w:after="40"/>
        <w:jc w:val="right"/>
      </w:pPr>
      <w:r>
        <w:rPr>
          <w:rFonts w:ascii="Arial" w:hAnsi="Arial"/>
          <w:sz w:val="21"/>
        </w:rPr>
        <w:t>11. النموذج المالي والعمولات ونسبة 8%</w:t>
      </w:r>
    </w:p>
    <w:p>
      <w:pPr>
        <w:pStyle w:val="ListBullet"/>
        <w:spacing w:after="40"/>
        <w:jc w:val="right"/>
      </w:pPr>
      <w:r>
        <w:rPr>
          <w:rFonts w:ascii="Arial" w:hAnsi="Arial"/>
          <w:sz w:val="21"/>
        </w:rPr>
        <w:t>12. إدارة الشركات والتسويات</w:t>
      </w:r>
    </w:p>
    <w:p>
      <w:pPr>
        <w:pStyle w:val="ListBullet"/>
        <w:spacing w:after="40"/>
        <w:jc w:val="right"/>
      </w:pPr>
      <w:r>
        <w:rPr>
          <w:rFonts w:ascii="Arial" w:hAnsi="Arial"/>
          <w:sz w:val="21"/>
        </w:rPr>
        <w:t>13. الإدارة المالية</w:t>
      </w:r>
    </w:p>
    <w:p>
      <w:pPr>
        <w:pStyle w:val="ListBullet"/>
        <w:spacing w:after="40"/>
        <w:jc w:val="right"/>
      </w:pPr>
      <w:r>
        <w:rPr>
          <w:rFonts w:ascii="Arial" w:hAnsi="Arial"/>
          <w:sz w:val="21"/>
        </w:rPr>
        <w:t>14. الموارد البشرية وشؤون الموظفين</w:t>
      </w:r>
    </w:p>
    <w:p>
      <w:pPr>
        <w:pStyle w:val="ListBullet"/>
        <w:spacing w:after="40"/>
        <w:jc w:val="right"/>
      </w:pPr>
      <w:r>
        <w:rPr>
          <w:rFonts w:ascii="Arial" w:hAnsi="Arial"/>
          <w:sz w:val="21"/>
        </w:rPr>
        <w:t>15. CRM والمواعيد والتنبيهات</w:t>
      </w:r>
    </w:p>
    <w:p>
      <w:pPr>
        <w:pStyle w:val="ListBullet"/>
        <w:spacing w:after="40"/>
        <w:jc w:val="right"/>
      </w:pPr>
      <w:r>
        <w:rPr>
          <w:rFonts w:ascii="Arial" w:hAnsi="Arial"/>
          <w:sz w:val="21"/>
        </w:rPr>
        <w:t>16. الصلاحيات والموافقات والتدقيق</w:t>
      </w:r>
    </w:p>
    <w:p>
      <w:pPr>
        <w:pStyle w:val="ListBullet"/>
        <w:spacing w:after="40"/>
        <w:jc w:val="right"/>
      </w:pPr>
      <w:r>
        <w:rPr>
          <w:rFonts w:ascii="Arial" w:hAnsi="Arial"/>
          <w:sz w:val="21"/>
        </w:rPr>
        <w:t>17. التقارير ولوحة الإدارة</w:t>
      </w:r>
    </w:p>
    <w:p>
      <w:pPr>
        <w:pStyle w:val="ListBullet"/>
        <w:spacing w:after="40"/>
        <w:jc w:val="right"/>
      </w:pPr>
      <w:r>
        <w:rPr>
          <w:rFonts w:ascii="Arial" w:hAnsi="Arial"/>
          <w:sz w:val="21"/>
        </w:rPr>
        <w:t>18. التكاملات وواجهات API</w:t>
      </w:r>
    </w:p>
    <w:p>
      <w:pPr>
        <w:pStyle w:val="ListBullet"/>
        <w:spacing w:after="40"/>
        <w:jc w:val="right"/>
      </w:pPr>
      <w:r>
        <w:rPr>
          <w:rFonts w:ascii="Arial" w:hAnsi="Arial"/>
          <w:sz w:val="21"/>
        </w:rPr>
        <w:t>19. قاعدة البيانات والبنية التقنية</w:t>
      </w:r>
    </w:p>
    <w:p>
      <w:pPr>
        <w:pStyle w:val="ListBullet"/>
        <w:spacing w:after="40"/>
        <w:jc w:val="right"/>
      </w:pPr>
      <w:r>
        <w:rPr>
          <w:rFonts w:ascii="Arial" w:hAnsi="Arial"/>
          <w:sz w:val="21"/>
        </w:rPr>
        <w:t>20. الأمان والنسخ الاحتياطي والأداء</w:t>
      </w:r>
    </w:p>
    <w:p>
      <w:pPr>
        <w:pStyle w:val="ListBullet"/>
        <w:spacing w:after="40"/>
        <w:jc w:val="right"/>
      </w:pPr>
      <w:r>
        <w:rPr>
          <w:rFonts w:ascii="Arial" w:hAnsi="Arial"/>
          <w:sz w:val="21"/>
        </w:rPr>
        <w:t>21. الفروع والعملات واللغات</w:t>
      </w:r>
    </w:p>
    <w:p>
      <w:pPr>
        <w:pStyle w:val="ListBullet"/>
        <w:spacing w:after="40"/>
        <w:jc w:val="right"/>
      </w:pPr>
      <w:r>
        <w:rPr>
          <w:rFonts w:ascii="Arial" w:hAnsi="Arial"/>
          <w:sz w:val="21"/>
        </w:rPr>
        <w:t>22. الاختبارات والتسليم والدعم</w:t>
      </w:r>
    </w:p>
    <w:p>
      <w:pPr>
        <w:pStyle w:val="ListBullet"/>
        <w:spacing w:after="40"/>
        <w:jc w:val="right"/>
      </w:pPr>
      <w:r>
        <w:rPr>
          <w:rFonts w:ascii="Arial" w:hAnsi="Arial"/>
          <w:sz w:val="21"/>
        </w:rPr>
        <w:t>23. مراحل التنفيذ</w:t>
      </w:r>
    </w:p>
    <w:p>
      <w:pPr>
        <w:pStyle w:val="ListBullet"/>
        <w:spacing w:after="40"/>
        <w:jc w:val="right"/>
      </w:pPr>
      <w:r>
        <w:rPr>
          <w:rFonts w:ascii="Arial" w:hAnsi="Arial"/>
          <w:sz w:val="21"/>
        </w:rPr>
        <w:t>24. المتطلبات التجارية الواجب حسمها</w:t>
      </w:r>
    </w:p>
    <w:p>
      <w:pPr>
        <w:pStyle w:val="ListBullet"/>
        <w:spacing w:after="40"/>
        <w:jc w:val="right"/>
      </w:pPr>
      <w:r>
        <w:rPr>
          <w:rFonts w:ascii="Arial" w:hAnsi="Arial"/>
          <w:sz w:val="21"/>
        </w:rPr>
        <w:t>25. معايير القبول والنتيجة النهائية</w:t>
      </w:r>
    </w:p>
    <w:p>
      <w:pPr>
        <w:pStyle w:val="Heading1"/>
        <w:spacing w:after="100"/>
        <w:jc w:val="right"/>
      </w:pPr>
      <w:r>
        <w:rPr>
          <w:rFonts w:ascii="Arial" w:hAnsi="Arial"/>
          <w:b w:val="0"/>
        </w:rPr>
        <w:t>1. الملخص التنفيذي</w:t>
      </w:r>
    </w:p>
    <w:p>
      <w:pPr>
        <w:spacing w:after="100"/>
        <w:jc w:val="right"/>
      </w:pPr>
      <w:r>
        <w:rPr>
          <w:rFonts w:ascii="Arial" w:hAnsi="Arial"/>
          <w:b w:val="0"/>
        </w:rPr>
        <w:t>المشروع عبارة عن منصة رقمية متكاملة تجمع بين سوق إلكتروني للخدمات ومنصة حجز وشراء خدمات السفر ونظام إدارة داخلي للوكالة.</w:t>
      </w:r>
    </w:p>
    <w:p>
      <w:pPr>
        <w:spacing w:after="100"/>
        <w:jc w:val="right"/>
      </w:pPr>
      <w:r>
        <w:rPr>
          <w:rFonts w:ascii="Arial" w:hAnsi="Arial"/>
          <w:b w:val="0"/>
        </w:rPr>
        <w:t>يشمل النظام إدارة العملاء، الخدمات، الطلبات، الحجوزات، شركات الطيران ومزودي الخدمات، التأشيرات، الدفع الإلكتروني، الإدارة المالية، العمولات والتسويات، الموارد البشرية، المواعيد والتنبيهات، المستخدمين والصلاحيات، التقارير والفروع والتكاملات الخارجية.</w:t>
      </w:r>
    </w:p>
    <w:p>
      <w:pPr>
        <w:pStyle w:val="Heading1"/>
        <w:spacing w:after="100"/>
        <w:jc w:val="right"/>
      </w:pPr>
      <w:r>
        <w:rPr>
          <w:rFonts w:ascii="Arial" w:hAnsi="Arial"/>
          <w:b w:val="0"/>
        </w:rPr>
        <w:t>2. الرؤية العامة</w:t>
      </w:r>
    </w:p>
    <w:p>
      <w:pPr>
        <w:spacing w:after="100"/>
        <w:jc w:val="right"/>
      </w:pPr>
      <w:r>
        <w:rPr>
          <w:rFonts w:ascii="Arial" w:hAnsi="Arial"/>
          <w:b w:val="0"/>
        </w:rPr>
        <w:t>يعمل النظام وفق دورة موحدة تبدأ من استعراض العميل للخدمة، ثم اختيارها وإنشاء الطلب والفاتورة والدفع للوكالة، ثم تنفيذ الحجز أو شراء الخدمة من المزود، وتسجيل التكلفة والعمولة والتسوية، وإرسال المستندات للعميل وإغلاق العملية وحساب الربحية.</w:t>
      </w:r>
    </w:p>
    <w:p>
      <w:pPr>
        <w:pStyle w:val="Heading1"/>
        <w:spacing w:after="100"/>
        <w:jc w:val="right"/>
      </w:pPr>
      <w:r>
        <w:rPr>
          <w:rFonts w:ascii="Arial" w:hAnsi="Arial"/>
          <w:b w:val="0"/>
        </w:rPr>
        <w:t>3. الأطراف الرئيسية للنظام</w:t>
      </w:r>
    </w:p>
    <w:p>
      <w:pPr>
        <w:spacing w:after="100"/>
        <w:jc w:val="right"/>
      </w:pPr>
      <w:r>
        <w:rPr>
          <w:rFonts w:ascii="Arial" w:hAnsi="Arial"/>
          <w:b w:val="0"/>
        </w:rPr>
        <w:t>العميل: استعراض وشراء الخدمات ومتابعة الطلبات والمدفوعات.</w:t>
      </w:r>
    </w:p>
    <w:p>
      <w:pPr>
        <w:spacing w:after="100"/>
        <w:jc w:val="right"/>
      </w:pPr>
      <w:r>
        <w:rPr>
          <w:rFonts w:ascii="Arial" w:hAnsi="Arial"/>
          <w:b w:val="0"/>
        </w:rPr>
        <w:t>موظف خدمة العملاء: إدارة العملاء والطلبات والتواصل.</w:t>
      </w:r>
    </w:p>
    <w:p>
      <w:pPr>
        <w:spacing w:after="100"/>
        <w:jc w:val="right"/>
      </w:pPr>
      <w:r>
        <w:rPr>
          <w:rFonts w:ascii="Arial" w:hAnsi="Arial"/>
          <w:b w:val="0"/>
        </w:rPr>
        <w:t>موظف الحجوزات: تنفيذ حجوزات الطيران والفنادق والخدمات.</w:t>
      </w:r>
    </w:p>
    <w:p>
      <w:pPr>
        <w:spacing w:after="100"/>
        <w:jc w:val="right"/>
      </w:pPr>
      <w:r>
        <w:rPr>
          <w:rFonts w:ascii="Arial" w:hAnsi="Arial"/>
          <w:b w:val="0"/>
        </w:rPr>
        <w:t>موظف التأشيرات: معالجة طلبات التأشيرات والمستندات.</w:t>
      </w:r>
    </w:p>
    <w:p>
      <w:pPr>
        <w:spacing w:after="100"/>
        <w:jc w:val="right"/>
      </w:pPr>
      <w:r>
        <w:rPr>
          <w:rFonts w:ascii="Arial" w:hAnsi="Arial"/>
          <w:b w:val="0"/>
        </w:rPr>
        <w:t>موظف المالية: المدفوعات والتسويات والإيرادات والمصروفات.</w:t>
      </w:r>
    </w:p>
    <w:p>
      <w:pPr>
        <w:spacing w:after="100"/>
        <w:jc w:val="right"/>
      </w:pPr>
      <w:r>
        <w:rPr>
          <w:rFonts w:ascii="Arial" w:hAnsi="Arial"/>
          <w:b w:val="0"/>
        </w:rPr>
        <w:t>موظف الموارد البشرية: ملفات الموظفين والحضور والإجازات والرواتب.</w:t>
      </w:r>
    </w:p>
    <w:p>
      <w:pPr>
        <w:spacing w:after="100"/>
        <w:jc w:val="right"/>
      </w:pPr>
      <w:r>
        <w:rPr>
          <w:rFonts w:ascii="Arial" w:hAnsi="Arial"/>
          <w:b w:val="0"/>
        </w:rPr>
        <w:t>المشرف ومدير الفرع: الإشراف على القسم أو الفرع.</w:t>
      </w:r>
    </w:p>
    <w:p>
      <w:pPr>
        <w:spacing w:after="100"/>
        <w:jc w:val="right"/>
      </w:pPr>
      <w:r>
        <w:rPr>
          <w:rFonts w:ascii="Arial" w:hAnsi="Arial"/>
          <w:b w:val="0"/>
        </w:rPr>
        <w:t>الإدارة العليا: التقارير والمؤشرات والاعتمادات.</w:t>
      </w:r>
    </w:p>
    <w:p>
      <w:pPr>
        <w:spacing w:after="100"/>
        <w:jc w:val="right"/>
      </w:pPr>
      <w:r>
        <w:rPr>
          <w:rFonts w:ascii="Arial" w:hAnsi="Arial"/>
          <w:b w:val="0"/>
        </w:rPr>
        <w:t>مدير النظام: الصلاحيات والإعدادات والتكاملات.</w:t>
      </w:r>
    </w:p>
    <w:p>
      <w:pPr>
        <w:pStyle w:val="Heading1"/>
        <w:spacing w:after="100"/>
        <w:jc w:val="right"/>
      </w:pPr>
      <w:r>
        <w:rPr>
          <w:rFonts w:ascii="Arial" w:hAnsi="Arial"/>
          <w:b w:val="0"/>
        </w:rPr>
        <w:t>4. الهيكل الوظيفي للنظام</w:t>
      </w:r>
    </w:p>
    <w:p>
      <w:pPr>
        <w:spacing w:after="100"/>
        <w:jc w:val="right"/>
      </w:pPr>
      <w:r>
        <w:rPr>
          <w:rFonts w:ascii="Arial" w:hAnsi="Arial"/>
          <w:b w:val="0"/>
        </w:rPr>
        <w:t>يتكون النظام من واجهة العملاء، لوحة الإدارة، واجهات API، نظام الطلبات والمبيعات، المالية، الموارد البشرية، إدارة الشركات، والتكاملات الخارجية.</w:t>
      </w:r>
    </w:p>
    <w:p>
      <w:pPr>
        <w:pStyle w:val="Heading1"/>
        <w:spacing w:after="100"/>
        <w:jc w:val="right"/>
      </w:pPr>
      <w:r>
        <w:rPr>
          <w:rFonts w:ascii="Arial" w:hAnsi="Arial"/>
          <w:b w:val="0"/>
        </w:rPr>
        <w:t>5. الواجهة العامة للموقع</w:t>
      </w:r>
    </w:p>
    <w:p>
      <w:pPr>
        <w:spacing w:after="100"/>
        <w:jc w:val="right"/>
      </w:pPr>
      <w:r>
        <w:rPr>
          <w:rFonts w:ascii="Arial" w:hAnsi="Arial"/>
          <w:b w:val="0"/>
        </w:rPr>
        <w:t>الصفحة الرئيسية، الخدمات، الطيران، الفنادق، التأشيرات، النقل، العروض، الخدمات المميزة، الخدمات الأكثر طلباً، تسجيل الدخول، إنشاء الحساب، اللغات والعملات ومعلومات التواصل.</w:t>
      </w:r>
    </w:p>
    <w:p>
      <w:pPr>
        <w:pStyle w:val="Heading1"/>
        <w:spacing w:after="100"/>
        <w:jc w:val="right"/>
      </w:pPr>
      <w:r>
        <w:rPr>
          <w:rFonts w:ascii="Arial" w:hAnsi="Arial"/>
          <w:b w:val="0"/>
        </w:rPr>
        <w:t>6. التسجيل والدخول وحساب العميل</w:t>
      </w:r>
    </w:p>
    <w:p>
      <w:pPr>
        <w:spacing w:after="100"/>
        <w:jc w:val="right"/>
      </w:pPr>
      <w:r>
        <w:rPr>
          <w:rFonts w:ascii="Arial" w:hAnsi="Arial"/>
          <w:b w:val="0"/>
        </w:rPr>
        <w:t>تسجيل الحساب بالاسم والهاتف والبريد والدولة وكلمة المرور.</w:t>
      </w:r>
    </w:p>
    <w:p>
      <w:pPr>
        <w:spacing w:after="100"/>
        <w:jc w:val="right"/>
      </w:pPr>
      <w:r>
        <w:rPr>
          <w:rFonts w:ascii="Arial" w:hAnsi="Arial"/>
          <w:b w:val="0"/>
        </w:rPr>
        <w:t>تسجيل الدخول واستعادة كلمة المرور والتحقق الإضافي للحسابات الحساسة.</w:t>
      </w:r>
    </w:p>
    <w:p>
      <w:pPr>
        <w:spacing w:after="100"/>
        <w:jc w:val="right"/>
      </w:pPr>
      <w:r>
        <w:rPr>
          <w:rFonts w:ascii="Arial" w:hAnsi="Arial"/>
          <w:b w:val="0"/>
        </w:rPr>
        <w:t>حساب العميل يشمل الملف الشخصي، الطلبات، الحجوزات، المدفوعات، الفواتير، المستندات والتنبيهات.</w:t>
      </w:r>
    </w:p>
    <w:p>
      <w:pPr>
        <w:pStyle w:val="Heading1"/>
        <w:spacing w:after="100"/>
        <w:jc w:val="right"/>
      </w:pPr>
      <w:r>
        <w:rPr>
          <w:rFonts w:ascii="Arial" w:hAnsi="Arial"/>
          <w:b w:val="0"/>
        </w:rPr>
        <w:t>7. سوق الخدمات ومحرك البحث</w:t>
      </w:r>
    </w:p>
    <w:p>
      <w:pPr>
        <w:spacing w:after="100"/>
        <w:jc w:val="right"/>
      </w:pPr>
      <w:r>
        <w:rPr>
          <w:rFonts w:ascii="Arial" w:hAnsi="Arial"/>
          <w:b w:val="0"/>
        </w:rPr>
        <w:t>تصنيفات ديناميكية للخدمات مع إمكانية إضافة تصنيفات جديدة دون إعادة بناء النظام.</w:t>
      </w:r>
    </w:p>
    <w:p>
      <w:pPr>
        <w:spacing w:after="100"/>
        <w:jc w:val="right"/>
      </w:pPr>
      <w:r>
        <w:rPr>
          <w:rFonts w:ascii="Arial" w:hAnsi="Arial"/>
          <w:b w:val="0"/>
        </w:rPr>
        <w:t>صفحة لكل خدمة تشمل الاسم والوصف والسعر والعملة والمدة والشروط والمستندات المطلوبة وسياسة الإلغاء والتقييم.</w:t>
      </w:r>
    </w:p>
    <w:p>
      <w:pPr>
        <w:spacing w:after="100"/>
        <w:jc w:val="right"/>
      </w:pPr>
      <w:r>
        <w:rPr>
          <w:rFonts w:ascii="Arial" w:hAnsi="Arial"/>
          <w:b w:val="0"/>
        </w:rPr>
        <w:t>البحث والفلترة حسب السعر والتاريخ والدولة والمدينة ونوع الخدمة والشركة والتقييم والتوفر.</w:t>
      </w:r>
    </w:p>
    <w:p>
      <w:pPr>
        <w:pStyle w:val="Heading1"/>
        <w:spacing w:after="100"/>
        <w:jc w:val="right"/>
      </w:pPr>
      <w:r>
        <w:rPr>
          <w:rFonts w:ascii="Arial" w:hAnsi="Arial"/>
          <w:b w:val="0"/>
        </w:rPr>
        <w:t>8. الطلبات والسلة وإتمام الشراء</w:t>
      </w:r>
    </w:p>
    <w:p>
      <w:pPr>
        <w:spacing w:after="100"/>
        <w:jc w:val="right"/>
      </w:pPr>
      <w:r>
        <w:rPr>
          <w:rFonts w:ascii="Arial" w:hAnsi="Arial"/>
          <w:b w:val="0"/>
        </w:rPr>
        <w:t>السلة تسمح بإضافة الخدمات وتعديلها وحذفها وعرض الإجمالي وتطبيق الكوبونات.</w:t>
      </w:r>
    </w:p>
    <w:p>
      <w:pPr>
        <w:spacing w:after="100"/>
        <w:jc w:val="right"/>
      </w:pPr>
      <w:r>
        <w:rPr>
          <w:rFonts w:ascii="Arial" w:hAnsi="Arial"/>
          <w:b w:val="0"/>
        </w:rPr>
        <w:t>Checkout يتكون من بيانات العميل، بيانات المستفيد أو المسافر، تفاصيل الخدمة، الموعد، مراجعة الطلب، الفاتورة، الدفع والتأكيد.</w:t>
      </w:r>
    </w:p>
    <w:p>
      <w:pPr>
        <w:spacing w:after="100"/>
        <w:jc w:val="right"/>
      </w:pPr>
      <w:r>
        <w:rPr>
          <w:rFonts w:ascii="Arial" w:hAnsi="Arial"/>
          <w:b w:val="0"/>
        </w:rPr>
        <w:t>كل طلب يحصل على رقم فريد ويرتبط بالعميل والخدمة والسعر والتكلفة والموظف والمورد والدفع والفاتورة والمستندات والحالة.</w:t>
      </w:r>
    </w:p>
    <w:p>
      <w:pPr>
        <w:pStyle w:val="Heading1"/>
        <w:spacing w:after="100"/>
        <w:jc w:val="right"/>
      </w:pPr>
      <w:r>
        <w:rPr>
          <w:rFonts w:ascii="Arial" w:hAnsi="Arial"/>
          <w:b w:val="0"/>
        </w:rPr>
        <w:t>9. الطيران والفنادق والتأشيرات</w:t>
      </w:r>
    </w:p>
    <w:p>
      <w:pPr>
        <w:spacing w:after="100"/>
        <w:jc w:val="right"/>
      </w:pPr>
      <w:r>
        <w:rPr>
          <w:rFonts w:ascii="Arial" w:hAnsi="Arial"/>
          <w:b w:val="0"/>
        </w:rPr>
        <w:t>الطيران: البحث عن الرحلات، عرض الشركة والوقت والتوقفات والأمتعة والسعر والشروط، إدخال بيانات المسافرين، الحجز والإصدار والتعديل والإلغاء حسب صلاحيات المزود.</w:t>
      </w:r>
    </w:p>
    <w:p>
      <w:pPr>
        <w:spacing w:after="100"/>
        <w:jc w:val="right"/>
      </w:pPr>
      <w:r>
        <w:rPr>
          <w:rFonts w:ascii="Arial" w:hAnsi="Arial"/>
          <w:b w:val="0"/>
        </w:rPr>
        <w:t>الفنادق: البحث حسب الوجهة والتواريخ والغرف، عرض الأسعار والتقييمات والشروط، الحجز وإصدار Voucher.</w:t>
      </w:r>
    </w:p>
    <w:p>
      <w:pPr>
        <w:spacing w:after="100"/>
        <w:jc w:val="right"/>
      </w:pPr>
      <w:r>
        <w:rPr>
          <w:rFonts w:ascii="Arial" w:hAnsi="Arial"/>
          <w:b w:val="0"/>
        </w:rPr>
        <w:t>التأشيرات: عرض الأنواع والأسعار ومتطلبات المستندات، تقديم الطلب، رفع الملفات، المتابعة وتحديث الحالة والتنبيهات.</w:t>
      </w:r>
    </w:p>
    <w:p>
      <w:pPr>
        <w:pStyle w:val="Heading1"/>
        <w:spacing w:after="100"/>
        <w:jc w:val="right"/>
      </w:pPr>
      <w:r>
        <w:rPr>
          <w:rFonts w:ascii="Arial" w:hAnsi="Arial"/>
          <w:b w:val="0"/>
        </w:rPr>
        <w:t>10. الدفع الإلكتروني والفواتير</w:t>
      </w:r>
    </w:p>
    <w:p>
      <w:pPr>
        <w:spacing w:after="100"/>
        <w:jc w:val="right"/>
      </w:pPr>
      <w:r>
        <w:rPr>
          <w:rFonts w:ascii="Arial" w:hAnsi="Arial"/>
          <w:b w:val="0"/>
        </w:rPr>
        <w:t>الدفع يتم من العميل إلى الوكالة عبر بوابة دفع إلكترونية تدعم Mastercard وVisa ووسائل أخرى عند توفرها.</w:t>
      </w:r>
    </w:p>
    <w:p>
      <w:pPr>
        <w:spacing w:after="100"/>
        <w:jc w:val="right"/>
      </w:pPr>
      <w:r>
        <w:rPr>
          <w:rFonts w:ascii="Arial" w:hAnsi="Arial"/>
          <w:b w:val="0"/>
        </w:rPr>
        <w:t>كل عملية دفع ترتبط بطلب وفاتورة ورقم عملية لدى بوابة الدفع، مع حالات Pending وPaid وFailed وRefunded وغيرها.</w:t>
      </w:r>
    </w:p>
    <w:p>
      <w:pPr>
        <w:spacing w:after="100"/>
        <w:jc w:val="right"/>
      </w:pPr>
      <w:r>
        <w:rPr>
          <w:rFonts w:ascii="Arial" w:hAnsi="Arial"/>
          <w:b w:val="0"/>
        </w:rPr>
        <w:t>يفضل استخدام Hosted Checkout أو Tokenization وعدم تخزين بيانات البطاقات الحساسة داخل المنصة.</w:t>
      </w:r>
    </w:p>
    <w:p>
      <w:pPr>
        <w:pStyle w:val="Heading1"/>
        <w:spacing w:after="100"/>
        <w:jc w:val="right"/>
      </w:pPr>
      <w:r>
        <w:rPr>
          <w:rFonts w:ascii="Arial" w:hAnsi="Arial"/>
          <w:b w:val="0"/>
        </w:rPr>
        <w:t>11. النموذج المالي والعمولات ونسبة 8%</w:t>
      </w:r>
    </w:p>
    <w:p>
      <w:pPr>
        <w:spacing w:after="100"/>
        <w:jc w:val="right"/>
      </w:pPr>
      <w:r>
        <w:rPr>
          <w:rFonts w:ascii="Arial" w:hAnsi="Arial"/>
          <w:b w:val="0"/>
        </w:rPr>
        <w:t>يجب الفصل بين سعر البيع للعميل، تكلفة المورد، رسوم الوكالة، الخصومات، رسوم الدفع وصافي الربح.</w:t>
      </w:r>
    </w:p>
    <w:p>
      <w:pPr>
        <w:spacing w:after="100"/>
        <w:jc w:val="right"/>
      </w:pPr>
      <w:r>
        <w:rPr>
          <w:rFonts w:ascii="Arial" w:hAnsi="Arial"/>
          <w:b w:val="0"/>
        </w:rPr>
        <w:t>نسبة 8% تمثل عمولة أو هامش الوكالة وفق الاتفاقية مع المورد، وليست بالضرورة خصماً للعميل.</w:t>
      </w:r>
    </w:p>
    <w:p>
      <w:pPr>
        <w:spacing w:after="100"/>
        <w:jc w:val="right"/>
      </w:pPr>
      <w:r>
        <w:rPr>
          <w:rFonts w:ascii="Arial" w:hAnsi="Arial"/>
          <w:b w:val="0"/>
        </w:rPr>
        <w:t>مثال: إذا كانت تكلفة المورد 100 دولار وكانت عمولة الوكالة 8%، تسجل عمولة 8 دولارات ومستحق المورد 92 دولاراً وفق نموذج التسوية المعتمد.</w:t>
      </w:r>
    </w:p>
    <w:p>
      <w:pPr>
        <w:spacing w:after="100"/>
        <w:jc w:val="right"/>
      </w:pPr>
      <w:r>
        <w:rPr>
          <w:rFonts w:ascii="Arial" w:hAnsi="Arial"/>
          <w:b w:val="0"/>
        </w:rPr>
        <w:t>يجب أن تكون النسبة قابلة للتغيير حسب الشركة أو الخدمة أو المنتج أو العقد، ويمكن دعم نسبة مئوية أو مبلغ ثابت أو سعر شراء + هامش.</w:t>
      </w:r>
    </w:p>
    <w:p>
      <w:pPr>
        <w:pStyle w:val="Heading1"/>
        <w:spacing w:after="100"/>
        <w:jc w:val="right"/>
      </w:pPr>
      <w:r>
        <w:rPr>
          <w:rFonts w:ascii="Arial" w:hAnsi="Arial"/>
          <w:b w:val="0"/>
        </w:rPr>
        <w:t>12. إدارة الشركات والتسويات</w:t>
      </w:r>
    </w:p>
    <w:p>
      <w:pPr>
        <w:spacing w:after="100"/>
        <w:jc w:val="right"/>
      </w:pPr>
      <w:r>
        <w:rPr>
          <w:rFonts w:ascii="Arial" w:hAnsi="Arial"/>
          <w:b w:val="0"/>
        </w:rPr>
        <w:t>لكل شركة ملف يتضمن بيانات التواصل والخدمات والعملات وطريقة التسوية ونسبة العمولة وفترة الاتفاق وشروط الدفع.</w:t>
      </w:r>
    </w:p>
    <w:p>
      <w:pPr>
        <w:spacing w:after="100"/>
        <w:jc w:val="right"/>
      </w:pPr>
      <w:r>
        <w:rPr>
          <w:rFonts w:ascii="Arial" w:hAnsi="Arial"/>
          <w:b w:val="0"/>
        </w:rPr>
        <w:t>إنشاء Settlement ID لكل تسوية مع الشركة يتضمن الطلبات والتكلفة والعمولة والمبلغ النهائي والحسابات وتاريخ التحويل والموظف المنفذ والمعتمد.</w:t>
      </w:r>
    </w:p>
    <w:p>
      <w:pPr>
        <w:spacing w:after="100"/>
        <w:jc w:val="right"/>
      </w:pPr>
      <w:r>
        <w:rPr>
          <w:rFonts w:ascii="Arial" w:hAnsi="Arial"/>
          <w:b w:val="0"/>
        </w:rPr>
        <w:t>كشف حساب الشركة يعرض العمليات والتكاليف والعمولات والمدفوع والمتبقي.</w:t>
      </w:r>
    </w:p>
    <w:p>
      <w:pPr>
        <w:pStyle w:val="Heading1"/>
        <w:spacing w:after="100"/>
        <w:jc w:val="right"/>
      </w:pPr>
      <w:r>
        <w:rPr>
          <w:rFonts w:ascii="Arial" w:hAnsi="Arial"/>
          <w:b w:val="0"/>
        </w:rPr>
        <w:t>13. الإدارة المالية</w:t>
      </w:r>
    </w:p>
    <w:p>
      <w:pPr>
        <w:spacing w:after="100"/>
        <w:jc w:val="right"/>
      </w:pPr>
      <w:r>
        <w:rPr>
          <w:rFonts w:ascii="Arial" w:hAnsi="Arial"/>
          <w:b w:val="0"/>
        </w:rPr>
        <w:t>الحسابات تشمل البنوك والصندوق والعملاء والشركات والموردين والإيرادات والمصروفات والرواتب والعمولات ورسوم الدفع.</w:t>
      </w:r>
    </w:p>
    <w:p>
      <w:pPr>
        <w:spacing w:after="100"/>
        <w:jc w:val="right"/>
      </w:pPr>
      <w:r>
        <w:rPr>
          <w:rFonts w:ascii="Arial" w:hAnsi="Arial"/>
          <w:b w:val="0"/>
        </w:rPr>
        <w:t>إدارة الإيرادات والمصروفات والتحويلات والتسويات البنكية والعملات المتعددة.</w:t>
      </w:r>
    </w:p>
    <w:p>
      <w:pPr>
        <w:spacing w:after="100"/>
        <w:jc w:val="right"/>
      </w:pPr>
      <w:r>
        <w:rPr>
          <w:rFonts w:ascii="Arial" w:hAnsi="Arial"/>
          <w:b w:val="0"/>
        </w:rPr>
        <w:t>إمكانية إنشاء القيود الناتجة عن العمليات التشغيلية بصورة آلية أو شبه آلية وفق التصميم المحاسبي المعتمد.</w:t>
      </w:r>
    </w:p>
    <w:p>
      <w:pPr>
        <w:spacing w:after="100"/>
        <w:jc w:val="right"/>
      </w:pPr>
      <w:r>
        <w:rPr>
          <w:rFonts w:ascii="Arial" w:hAnsi="Arial"/>
          <w:b w:val="0"/>
        </w:rPr>
        <w:t>تقارير المبيعات والربحية والمصروفات والمبالغ المستحقة للشركات وكشوف الحساب.</w:t>
      </w:r>
    </w:p>
    <w:p>
      <w:pPr>
        <w:pStyle w:val="Heading1"/>
        <w:spacing w:after="100"/>
        <w:jc w:val="right"/>
      </w:pPr>
      <w:r>
        <w:rPr>
          <w:rFonts w:ascii="Arial" w:hAnsi="Arial"/>
          <w:b w:val="0"/>
        </w:rPr>
        <w:t>14. الموارد البشرية وشؤون الموظفين</w:t>
      </w:r>
    </w:p>
    <w:p>
      <w:pPr>
        <w:spacing w:after="100"/>
        <w:jc w:val="right"/>
      </w:pPr>
      <w:r>
        <w:rPr>
          <w:rFonts w:ascii="Arial" w:hAnsi="Arial"/>
          <w:b w:val="0"/>
        </w:rPr>
        <w:t>ملف الموظف: البيانات الشخصية والوظيفة والقسم والفرع والعقد والراتب والحالة والوثائق.</w:t>
      </w:r>
    </w:p>
    <w:p>
      <w:pPr>
        <w:spacing w:after="100"/>
        <w:jc w:val="right"/>
      </w:pPr>
      <w:r>
        <w:rPr>
          <w:rFonts w:ascii="Arial" w:hAnsi="Arial"/>
          <w:b w:val="0"/>
        </w:rPr>
        <w:t>الحضور والانصراف والتأخير والغياب والعمل الإضافي.</w:t>
      </w:r>
    </w:p>
    <w:p>
      <w:pPr>
        <w:spacing w:after="100"/>
        <w:jc w:val="right"/>
      </w:pPr>
      <w:r>
        <w:rPr>
          <w:rFonts w:ascii="Arial" w:hAnsi="Arial"/>
          <w:b w:val="0"/>
        </w:rPr>
        <w:t>الإجازات وأنواعها وطلبات الموافقة ورصيد الإجازات.</w:t>
      </w:r>
    </w:p>
    <w:p>
      <w:pPr>
        <w:spacing w:after="100"/>
        <w:jc w:val="right"/>
      </w:pPr>
      <w:r>
        <w:rPr>
          <w:rFonts w:ascii="Arial" w:hAnsi="Arial"/>
          <w:b w:val="0"/>
        </w:rPr>
        <w:t>الرواتب: الأساسي والبدلات والحوافز والعمل الإضافي والخصومات والسلف والغياب وصافي الراتب.</w:t>
      </w:r>
    </w:p>
    <w:p>
      <w:pPr>
        <w:spacing w:after="100"/>
        <w:jc w:val="right"/>
      </w:pPr>
      <w:r>
        <w:rPr>
          <w:rFonts w:ascii="Arial" w:hAnsi="Arial"/>
          <w:b w:val="0"/>
        </w:rPr>
        <w:t>السلف والأقساط والتقييمات ومؤشرات الأداء.</w:t>
      </w:r>
    </w:p>
    <w:p>
      <w:pPr>
        <w:pStyle w:val="Heading1"/>
        <w:spacing w:after="100"/>
        <w:jc w:val="right"/>
      </w:pPr>
      <w:r>
        <w:rPr>
          <w:rFonts w:ascii="Arial" w:hAnsi="Arial"/>
          <w:b w:val="0"/>
        </w:rPr>
        <w:t>15. CRM والمواعيد والتنبيهات</w:t>
      </w:r>
    </w:p>
    <w:p>
      <w:pPr>
        <w:spacing w:after="100"/>
        <w:jc w:val="right"/>
      </w:pPr>
      <w:r>
        <w:rPr>
          <w:rFonts w:ascii="Arial" w:hAnsi="Arial"/>
          <w:b w:val="0"/>
        </w:rPr>
        <w:t>ملف العميل يحتفظ بالطلبات والحجوزات والمدفوعات والفواتير والمستندات والملاحظات وسجل التواصل.</w:t>
      </w:r>
    </w:p>
    <w:p>
      <w:pPr>
        <w:spacing w:after="100"/>
        <w:jc w:val="right"/>
      </w:pPr>
      <w:r>
        <w:rPr>
          <w:rFonts w:ascii="Arial" w:hAnsi="Arial"/>
          <w:b w:val="0"/>
        </w:rPr>
        <w:t>تقويم مركزي لمواعيد العملاء والتأشيرات والسفر والموظفين والاجتماعات والتسويات.</w:t>
      </w:r>
    </w:p>
    <w:p>
      <w:pPr>
        <w:spacing w:after="100"/>
        <w:jc w:val="right"/>
      </w:pPr>
      <w:r>
        <w:rPr>
          <w:rFonts w:ascii="Arial" w:hAnsi="Arial"/>
          <w:b w:val="0"/>
        </w:rPr>
        <w:t>إشعارات للعميل والموظف والإدارة عبر الموقع والبريد وSMS وWhatsApp عند توفر التكامل.</w:t>
      </w:r>
    </w:p>
    <w:p>
      <w:pPr>
        <w:pStyle w:val="Heading1"/>
        <w:spacing w:after="100"/>
        <w:jc w:val="right"/>
      </w:pPr>
      <w:r>
        <w:rPr>
          <w:rFonts w:ascii="Arial" w:hAnsi="Arial"/>
          <w:b w:val="0"/>
        </w:rPr>
        <w:t>16. الصلاحيات والموافقات والتدقيق</w:t>
      </w:r>
    </w:p>
    <w:p>
      <w:pPr>
        <w:spacing w:after="100"/>
        <w:jc w:val="right"/>
      </w:pPr>
      <w:r>
        <w:rPr>
          <w:rFonts w:ascii="Arial" w:hAnsi="Arial"/>
          <w:b w:val="0"/>
        </w:rPr>
        <w:t>نظام RBAC يحدد صلاحيات العرض والإضافة والتعديل والحذف والاعتماد والتصدير والطباعة والتنفيذ المالي.</w:t>
      </w:r>
    </w:p>
    <w:p>
      <w:pPr>
        <w:spacing w:after="100"/>
        <w:jc w:val="right"/>
      </w:pPr>
      <w:r>
        <w:rPr>
          <w:rFonts w:ascii="Arial" w:hAnsi="Arial"/>
          <w:b w:val="0"/>
        </w:rPr>
        <w:t>تطبيق Maker/Checker على العمليات الحساسة مثل التحويلات والاستردادات وتعديل العمولات.</w:t>
      </w:r>
    </w:p>
    <w:p>
      <w:pPr>
        <w:spacing w:after="100"/>
        <w:jc w:val="right"/>
      </w:pPr>
      <w:r>
        <w:rPr>
          <w:rFonts w:ascii="Arial" w:hAnsi="Arial"/>
          <w:b w:val="0"/>
        </w:rPr>
        <w:t>Audit Log يسجل المستخدم والعملية والقيم القديمة والجديدة والتاريخ والوقت، ولا يسمح للمستخدم العادي بحذف السجل.</w:t>
      </w:r>
    </w:p>
    <w:p>
      <w:pPr>
        <w:pStyle w:val="Heading1"/>
        <w:spacing w:after="100"/>
        <w:jc w:val="right"/>
      </w:pPr>
      <w:r>
        <w:rPr>
          <w:rFonts w:ascii="Arial" w:hAnsi="Arial"/>
          <w:b w:val="0"/>
        </w:rPr>
        <w:t>17. التقارير ولوحة الإدارة</w:t>
      </w:r>
    </w:p>
    <w:p>
      <w:pPr>
        <w:spacing w:after="100"/>
        <w:jc w:val="right"/>
      </w:pPr>
      <w:r>
        <w:rPr>
          <w:rFonts w:ascii="Arial" w:hAnsi="Arial"/>
          <w:b w:val="0"/>
        </w:rPr>
        <w:t>لوحة الإدارة تعرض المبيعات والطلبات والأرباح والمصروفات ومستحقات الشركات والعملاء والموظفين والمواعيد.</w:t>
      </w:r>
    </w:p>
    <w:p>
      <w:pPr>
        <w:spacing w:after="100"/>
        <w:jc w:val="right"/>
      </w:pPr>
      <w:r>
        <w:rPr>
          <w:rFonts w:ascii="Arial" w:hAnsi="Arial"/>
          <w:b w:val="0"/>
        </w:rPr>
        <w:t>تقارير حسب اليوم والأسبوع والشهر والسنة والفرع والموظف والخدمة والشركة.</w:t>
      </w:r>
    </w:p>
    <w:p>
      <w:pPr>
        <w:spacing w:after="100"/>
        <w:jc w:val="right"/>
      </w:pPr>
      <w:r>
        <w:rPr>
          <w:rFonts w:ascii="Arial" w:hAnsi="Arial"/>
          <w:b w:val="0"/>
        </w:rPr>
        <w:t>مؤشرات KPI للمبيعات والحجوزات والتأشيرات وخدمة العملاء والإنتاجية.</w:t>
      </w:r>
    </w:p>
    <w:p>
      <w:pPr>
        <w:pStyle w:val="Heading1"/>
        <w:spacing w:after="100"/>
        <w:jc w:val="right"/>
      </w:pPr>
      <w:r>
        <w:rPr>
          <w:rFonts w:ascii="Arial" w:hAnsi="Arial"/>
          <w:b w:val="0"/>
        </w:rPr>
        <w:t>18. التكاملات وواجهات API</w:t>
      </w:r>
    </w:p>
    <w:p>
      <w:pPr>
        <w:spacing w:after="100"/>
        <w:jc w:val="right"/>
      </w:pPr>
      <w:r>
        <w:rPr>
          <w:rFonts w:ascii="Arial" w:hAnsi="Arial"/>
          <w:b w:val="0"/>
        </w:rPr>
        <w:t>يجب توفير طبقة Integration Layer للتكامل مع GDS وNDC وأنظمة الحجز المباشر ومزودي الفنادق والتأشيرات وبوابات الدفع وSMS وWhatsApp والبنوك عند توفر API.</w:t>
      </w:r>
    </w:p>
    <w:p>
      <w:pPr>
        <w:spacing w:after="100"/>
        <w:jc w:val="right"/>
      </w:pPr>
      <w:r>
        <w:rPr>
          <w:rFonts w:ascii="Arial" w:hAnsi="Arial"/>
          <w:b w:val="0"/>
        </w:rPr>
        <w:t>يجب أن تدعم الواجهات المصادقة والتفويض وتحديد معدل الطلبات والتسجيل والإصدارات.</w:t>
      </w:r>
    </w:p>
    <w:p>
      <w:pPr>
        <w:pStyle w:val="Heading1"/>
        <w:spacing w:after="100"/>
        <w:jc w:val="right"/>
      </w:pPr>
      <w:r>
        <w:rPr>
          <w:rFonts w:ascii="Arial" w:hAnsi="Arial"/>
          <w:b w:val="0"/>
        </w:rPr>
        <w:t>19. قاعدة البيانات والبنية التقنية</w:t>
      </w:r>
    </w:p>
    <w:p>
      <w:pPr>
        <w:spacing w:after="100"/>
        <w:jc w:val="right"/>
      </w:pPr>
      <w:r>
        <w:rPr>
          <w:rFonts w:ascii="Arial" w:hAnsi="Arial"/>
          <w:b w:val="0"/>
        </w:rPr>
        <w:t>الجداول الأساسية المقترحة تشمل users, roles, permissions, customers, employees, branches, services, service_categories, service_providers, provider_contracts, orders, order_items, bookings, flight_bookings, hotel_bookings, visa_applications, payments, payment_transactions, refunds, invoices, invoice_items, accounts, transactions, expenses, revenues, commissions, settlements, settlement_items, attendance, leave_requests, payroll, notifications, appointments, documents, coupons, reviews, audit_logs, system_settings, exchange_rates.</w:t>
      </w:r>
    </w:p>
    <w:p>
      <w:pPr>
        <w:pStyle w:val="Heading1"/>
        <w:spacing w:after="100"/>
        <w:jc w:val="right"/>
      </w:pPr>
      <w:r>
        <w:rPr>
          <w:rFonts w:ascii="Arial" w:hAnsi="Arial"/>
          <w:b w:val="0"/>
        </w:rPr>
        <w:t>20. الأمان والنسخ الاحتياطي والأداء</w:t>
      </w:r>
    </w:p>
    <w:p>
      <w:pPr>
        <w:spacing w:after="100"/>
        <w:jc w:val="right"/>
      </w:pPr>
      <w:r>
        <w:rPr>
          <w:rFonts w:ascii="Arial" w:hAnsi="Arial"/>
          <w:b w:val="0"/>
        </w:rPr>
        <w:t>HTTPS، تشفير كلمات المرور، 2FA للحسابات الإدارية، حماية API، Rate Limiting، حماية من SQL Injection وXSS وCSRF، نسخ احتياطي واختبار الاستعادة.</w:t>
      </w:r>
    </w:p>
    <w:p>
      <w:pPr>
        <w:spacing w:after="100"/>
        <w:jc w:val="right"/>
      </w:pPr>
      <w:r>
        <w:rPr>
          <w:rFonts w:ascii="Arial" w:hAnsi="Arial"/>
          <w:b w:val="0"/>
        </w:rPr>
        <w:t>دعم Cache وCDN عند الحاجة، Pagination وDatabase Indexing وتحسين الصور والأصول.</w:t>
      </w:r>
    </w:p>
    <w:p>
      <w:pPr>
        <w:spacing w:after="100"/>
        <w:jc w:val="right"/>
      </w:pPr>
      <w:r>
        <w:rPr>
          <w:rFonts w:ascii="Arial" w:hAnsi="Arial"/>
          <w:b w:val="0"/>
        </w:rPr>
        <w:t>الهدف هو نظام قابل للتوسع ولا يتقيد بعدد محدود من المستخدمين أو الخدمات أو الشركات أو الفروع.</w:t>
      </w:r>
    </w:p>
    <w:p>
      <w:pPr>
        <w:pStyle w:val="Heading1"/>
        <w:spacing w:after="100"/>
        <w:jc w:val="right"/>
      </w:pPr>
      <w:r>
        <w:rPr>
          <w:rFonts w:ascii="Arial" w:hAnsi="Arial"/>
          <w:b w:val="0"/>
        </w:rPr>
        <w:t>21. الفروع والعملات واللغات</w:t>
      </w:r>
    </w:p>
    <w:p>
      <w:pPr>
        <w:spacing w:after="100"/>
        <w:jc w:val="right"/>
      </w:pPr>
      <w:r>
        <w:rPr>
          <w:rFonts w:ascii="Arial" w:hAnsi="Arial"/>
          <w:b w:val="0"/>
        </w:rPr>
        <w:t>دعم تعدد الفروع مع مستخدمين ومبيعات ومصروفات وصناديق وتقارير لكل فرع.</w:t>
      </w:r>
    </w:p>
    <w:p>
      <w:pPr>
        <w:spacing w:after="100"/>
        <w:jc w:val="right"/>
      </w:pPr>
      <w:r>
        <w:rPr>
          <w:rFonts w:ascii="Arial" w:hAnsi="Arial"/>
          <w:b w:val="0"/>
        </w:rPr>
        <w:t>دعم العربية والإنجليزية مع قابلية إضافة لغات أخرى.</w:t>
      </w:r>
    </w:p>
    <w:p>
      <w:pPr>
        <w:spacing w:after="100"/>
        <w:jc w:val="right"/>
      </w:pPr>
      <w:r>
        <w:rPr>
          <w:rFonts w:ascii="Arial" w:hAnsi="Arial"/>
          <w:b w:val="0"/>
        </w:rPr>
        <w:t>دعم USD وYER وSAR وAED وغيرها، مع سعر صرف قابل للإدارة وتاريخ ومرجع للسعر.</w:t>
      </w:r>
    </w:p>
    <w:p>
      <w:pPr>
        <w:pStyle w:val="Heading1"/>
        <w:spacing w:after="100"/>
        <w:jc w:val="right"/>
      </w:pPr>
      <w:r>
        <w:rPr>
          <w:rFonts w:ascii="Arial" w:hAnsi="Arial"/>
          <w:b w:val="0"/>
        </w:rPr>
        <w:t>22. الاختبارات والتسليم والدعم</w:t>
      </w:r>
    </w:p>
    <w:p>
      <w:pPr>
        <w:spacing w:after="100"/>
        <w:jc w:val="right"/>
      </w:pPr>
      <w:r>
        <w:rPr>
          <w:rFonts w:ascii="Arial" w:hAnsi="Arial"/>
          <w:b w:val="0"/>
        </w:rPr>
        <w:t>اختبارات Unit وIntegration وAPI وSecurity وPayment وUser Acceptance وLoad Testing للوظائف الحرجة.</w:t>
      </w:r>
    </w:p>
    <w:p>
      <w:pPr>
        <w:spacing w:after="100"/>
        <w:jc w:val="right"/>
      </w:pPr>
      <w:r>
        <w:rPr>
          <w:rFonts w:ascii="Arial" w:hAnsi="Arial"/>
          <w:b w:val="0"/>
        </w:rPr>
        <w:t>التسليم يشمل الكود المصدري، قاعدة البيانات، توثيق API، وثائق النظام، دليل المستخدم، ملفات التصميم، مخطط قاعدة البيانات، توثيق التكاملات، النسخ الاحتياطي ونتائج الاختبارات.</w:t>
      </w:r>
    </w:p>
    <w:p>
      <w:pPr>
        <w:spacing w:after="100"/>
        <w:jc w:val="right"/>
      </w:pPr>
      <w:r>
        <w:rPr>
          <w:rFonts w:ascii="Arial" w:hAnsi="Arial"/>
          <w:b w:val="0"/>
        </w:rPr>
        <w:t>يجب تحديد فترة ضمان وSLA للدعم وإصلاح الأعطال والتحديثات.</w:t>
      </w:r>
    </w:p>
    <w:p>
      <w:pPr>
        <w:pStyle w:val="Heading1"/>
        <w:spacing w:after="100"/>
        <w:jc w:val="right"/>
      </w:pPr>
      <w:r>
        <w:rPr>
          <w:rFonts w:ascii="Arial" w:hAnsi="Arial"/>
          <w:b w:val="0"/>
        </w:rPr>
        <w:t>23. مراحل التنفيذ</w:t>
      </w:r>
    </w:p>
    <w:p>
      <w:pPr>
        <w:spacing w:after="100"/>
        <w:jc w:val="right"/>
      </w:pPr>
      <w:r>
        <w:rPr>
          <w:rFonts w:ascii="Arial" w:hAnsi="Arial"/>
          <w:b w:val="0"/>
        </w:rPr>
        <w:t>المرحلة 1: التحليل والتصميم وUX/UI والمعمارية وقاعدة البيانات.</w:t>
      </w:r>
    </w:p>
    <w:p>
      <w:pPr>
        <w:spacing w:after="100"/>
        <w:jc w:val="right"/>
      </w:pPr>
      <w:r>
        <w:rPr>
          <w:rFonts w:ascii="Arial" w:hAnsi="Arial"/>
          <w:b w:val="0"/>
        </w:rPr>
        <w:t>المرحلة 2: Core System — المستخدمون والصلاحيات والعملاء والخدمات والطلبات ولوحة الإدارة.</w:t>
      </w:r>
    </w:p>
    <w:p>
      <w:pPr>
        <w:spacing w:after="100"/>
        <w:jc w:val="right"/>
      </w:pPr>
      <w:r>
        <w:rPr>
          <w:rFonts w:ascii="Arial" w:hAnsi="Arial"/>
          <w:b w:val="0"/>
        </w:rPr>
        <w:t>المرحلة 3: التجارة الإلكترونية — السلة والفواتير والدفع.</w:t>
      </w:r>
    </w:p>
    <w:p>
      <w:pPr>
        <w:spacing w:after="100"/>
        <w:jc w:val="right"/>
      </w:pPr>
      <w:r>
        <w:rPr>
          <w:rFonts w:ascii="Arial" w:hAnsi="Arial"/>
          <w:b w:val="0"/>
        </w:rPr>
        <w:t>المرحلة 4: السفر — الطيران والفنادق والتأشيرات والحجوزات.</w:t>
      </w:r>
    </w:p>
    <w:p>
      <w:pPr>
        <w:spacing w:after="100"/>
        <w:jc w:val="right"/>
      </w:pPr>
      <w:r>
        <w:rPr>
          <w:rFonts w:ascii="Arial" w:hAnsi="Arial"/>
          <w:b w:val="0"/>
        </w:rPr>
        <w:t>المرحلة 5: المالية — الإيرادات والمصروفات والشركات والعمولات والتسويات والتقارير.</w:t>
      </w:r>
    </w:p>
    <w:p>
      <w:pPr>
        <w:spacing w:after="100"/>
        <w:jc w:val="right"/>
      </w:pPr>
      <w:r>
        <w:rPr>
          <w:rFonts w:ascii="Arial" w:hAnsi="Arial"/>
          <w:b w:val="0"/>
        </w:rPr>
        <w:t>المرحلة 6: HR — الموظفون والحضور والإجازات والرواتب والتقييم.</w:t>
      </w:r>
    </w:p>
    <w:p>
      <w:pPr>
        <w:spacing w:after="100"/>
        <w:jc w:val="right"/>
      </w:pPr>
      <w:r>
        <w:rPr>
          <w:rFonts w:ascii="Arial" w:hAnsi="Arial"/>
          <w:b w:val="0"/>
        </w:rPr>
        <w:t>المرحلة 7: التكاملات — الدفع والطيران والفنادق والتأشيرات والرسائل.</w:t>
      </w:r>
    </w:p>
    <w:p>
      <w:pPr>
        <w:spacing w:after="100"/>
        <w:jc w:val="right"/>
      </w:pPr>
      <w:r>
        <w:rPr>
          <w:rFonts w:ascii="Arial" w:hAnsi="Arial"/>
          <w:b w:val="0"/>
        </w:rPr>
        <w:t>المرحلة 8: الاختبار والتدريب والإطلاق.</w:t>
      </w:r>
    </w:p>
    <w:p>
      <w:pPr>
        <w:pStyle w:val="Heading1"/>
        <w:spacing w:after="100"/>
        <w:jc w:val="right"/>
      </w:pPr>
      <w:r>
        <w:rPr>
          <w:rFonts w:ascii="Arial" w:hAnsi="Arial"/>
          <w:b w:val="0"/>
        </w:rPr>
        <w:t>24. المتطلبات التجارية الواجب حسمها</w:t>
      </w:r>
    </w:p>
    <w:p>
      <w:pPr>
        <w:spacing w:after="100"/>
        <w:jc w:val="right"/>
      </w:pPr>
      <w:r>
        <w:rPr>
          <w:rFonts w:ascii="Arial" w:hAnsi="Arial"/>
          <w:b w:val="0"/>
        </w:rPr>
        <w:t>تحديد نموذج الربح: عمولة 8%، رسوم خدمة، هامش على سعر المورد أو مزيج منها.</w:t>
      </w:r>
    </w:p>
    <w:p>
      <w:pPr>
        <w:spacing w:after="100"/>
        <w:jc w:val="right"/>
      </w:pPr>
      <w:r>
        <w:rPr>
          <w:rFonts w:ascii="Arial" w:hAnsi="Arial"/>
          <w:b w:val="0"/>
        </w:rPr>
        <w:t>تحديد طريقة الدفع للمورد: رصيد الوكالة، بطاقة الشركة، تحويل بنكي أو حد ائتماني.</w:t>
      </w:r>
    </w:p>
    <w:p>
      <w:pPr>
        <w:spacing w:after="100"/>
        <w:jc w:val="right"/>
      </w:pPr>
      <w:r>
        <w:rPr>
          <w:rFonts w:ascii="Arial" w:hAnsi="Arial"/>
          <w:b w:val="0"/>
        </w:rPr>
        <w:t>تحديد مسؤولية رسوم الإلغاء والاسترداد وفروق العملات ورسوم بوابة الدفع.</w:t>
      </w:r>
    </w:p>
    <w:p>
      <w:pPr>
        <w:spacing w:after="100"/>
        <w:jc w:val="right"/>
      </w:pPr>
      <w:r>
        <w:rPr>
          <w:rFonts w:ascii="Arial" w:hAnsi="Arial"/>
          <w:b w:val="0"/>
        </w:rPr>
        <w:t>تحديد مزودي API الفعليين واتفاقياتهم ومتطلبات الاعتماد والترخيص وحدود التكامل.</w:t>
      </w:r>
    </w:p>
    <w:p>
      <w:pPr>
        <w:pStyle w:val="Heading1"/>
        <w:spacing w:after="100"/>
        <w:jc w:val="right"/>
      </w:pPr>
      <w:r>
        <w:rPr>
          <w:rFonts w:ascii="Arial" w:hAnsi="Arial"/>
          <w:b w:val="0"/>
        </w:rPr>
        <w:t>25. معايير القبول والنتيجة النهائية</w:t>
      </w:r>
    </w:p>
    <w:p>
      <w:pPr>
        <w:spacing w:after="100"/>
        <w:jc w:val="right"/>
      </w:pPr>
      <w:r>
        <w:rPr>
          <w:rFonts w:ascii="Arial" w:hAnsi="Arial"/>
          <w:b w:val="0"/>
        </w:rPr>
        <w:t>يستطيع العميل استعراض الخدمات وشرائها والدفع إلكترونياً واستلام الفاتورة ومتابعة الطلب.</w:t>
      </w:r>
    </w:p>
    <w:p>
      <w:pPr>
        <w:spacing w:after="100"/>
        <w:jc w:val="right"/>
      </w:pPr>
      <w:r>
        <w:rPr>
          <w:rFonts w:ascii="Arial" w:hAnsi="Arial"/>
          <w:b w:val="0"/>
        </w:rPr>
        <w:t>تستطيع الإدارة إدارة الخدمات والعملاء والشركات والطلبات والحجوزات والمالية والموظفين والتقارير.</w:t>
      </w:r>
    </w:p>
    <w:p>
      <w:pPr>
        <w:spacing w:after="100"/>
        <w:jc w:val="right"/>
      </w:pPr>
      <w:r>
        <w:rPr>
          <w:rFonts w:ascii="Arial" w:hAnsi="Arial"/>
          <w:b w:val="0"/>
        </w:rPr>
        <w:t>يتم ربط كل عملية بعميل وخدمة ومورد وسعر بيع وتكلفة وعمولة ودفع وفاتورة وموظف وسجل تدقيق.</w:t>
      </w:r>
    </w:p>
    <w:p>
      <w:pPr>
        <w:spacing w:after="100"/>
        <w:jc w:val="right"/>
      </w:pPr>
      <w:r>
        <w:rPr>
          <w:rFonts w:ascii="Arial" w:hAnsi="Arial"/>
          <w:b w:val="0"/>
        </w:rPr>
        <w:t>يجب أن تظهر الربحية الحقيقية لكل عملية، مع قابلية إضافة خدمات وشركات وفروع وتكاملات جديدة.</w:t>
      </w:r>
    </w:p>
    <w:p>
      <w:pPr>
        <w:pStyle w:val="Heading1"/>
        <w:spacing w:after="100"/>
        <w:jc w:val="right"/>
      </w:pPr>
      <w:r>
        <w:rPr>
          <w:rFonts w:ascii="Arial" w:hAnsi="Arial"/>
          <w:b w:val="0"/>
        </w:rPr>
        <w:t>ملحق A — دورة شراء الخدمة</w:t>
      </w:r>
    </w:p>
    <w:p>
      <w:pPr>
        <w:jc w:val="left"/>
      </w:pPr>
      <w:r>
        <w:rPr>
          <w:rFonts w:ascii="Courier New" w:hAnsi="Courier New"/>
          <w:sz w:val="18"/>
        </w:rPr>
        <w:t>العميل → استعراض الخدمة → اختيار الخدمة → إدخال البيانات → إنشاء الطلب → الفاتورة → الدفع → تأكيد الدفع → تنفيذ الحجز → تسجيل تكلفة المورد → احتساب العمولة → التسوية → إرسال المستند → إغلاق الطلب → حساب الربحية</w:t>
      </w:r>
    </w:p>
    <w:p>
      <w:pPr>
        <w:pStyle w:val="Heading1"/>
        <w:spacing w:after="100"/>
        <w:jc w:val="right"/>
      </w:pPr>
      <w:r>
        <w:rPr>
          <w:rFonts w:ascii="Arial" w:hAnsi="Arial"/>
          <w:b w:val="0"/>
        </w:rPr>
        <w:t>ملحق B — مثال مالي</w:t>
      </w:r>
    </w:p>
    <w:tbl>
      <w:tblPr>
        <w:tblStyle w:val="TableGrid"/>
        <w:tblW w:type="auto" w:w="0"/>
        <w:tblLook w:firstColumn="1" w:firstRow="1" w:lastColumn="0" w:lastRow="0" w:noHBand="0" w:noVBand="1" w:val="04A0"/>
      </w:tblPr>
      <w:tblGrid>
        <w:gridCol w:w="4968"/>
        <w:gridCol w:w="4968"/>
      </w:tblGrid>
      <w:tr>
        <w:tc>
          <w:tcPr>
            <w:tcW w:type="dxa" w:w="4968"/>
          </w:tcPr>
          <w:p>
            <w:pPr>
              <w:jc w:val="right"/>
            </w:pPr>
            <w:r>
              <w:rPr>
                <w:rFonts w:ascii="Arial" w:hAnsi="Arial"/>
                <w:b/>
              </w:rPr>
              <w:t>البند</w:t>
            </w:r>
          </w:p>
        </w:tc>
        <w:tc>
          <w:tcPr>
            <w:tcW w:type="dxa" w:w="4968"/>
          </w:tcPr>
          <w:p>
            <w:pPr>
              <w:jc w:val="right"/>
            </w:pPr>
            <w:r>
              <w:rPr>
                <w:rFonts w:ascii="Arial" w:hAnsi="Arial"/>
                <w:b/>
              </w:rPr>
              <w:t>القيمة</w:t>
            </w:r>
          </w:p>
        </w:tc>
      </w:tr>
      <w:tr>
        <w:tc>
          <w:tcPr>
            <w:tcW w:type="dxa" w:w="4968"/>
          </w:tcPr>
          <w:p>
            <w:pPr>
              <w:jc w:val="right"/>
            </w:pPr>
            <w:r>
              <w:rPr>
                <w:rFonts w:ascii="Arial" w:hAnsi="Arial"/>
                <w:sz w:val="18"/>
              </w:rPr>
              <w:t>سعر المورد</w:t>
            </w:r>
          </w:p>
        </w:tc>
        <w:tc>
          <w:tcPr>
            <w:tcW w:type="dxa" w:w="4968"/>
          </w:tcPr>
          <w:p>
            <w:pPr>
              <w:jc w:val="right"/>
            </w:pPr>
            <w:r>
              <w:rPr>
                <w:rFonts w:ascii="Arial" w:hAnsi="Arial"/>
                <w:sz w:val="18"/>
              </w:rPr>
              <w:t>100 USD</w:t>
            </w:r>
          </w:p>
        </w:tc>
      </w:tr>
      <w:tr>
        <w:tc>
          <w:tcPr>
            <w:tcW w:type="dxa" w:w="4968"/>
          </w:tcPr>
          <w:p>
            <w:pPr>
              <w:jc w:val="right"/>
            </w:pPr>
            <w:r>
              <w:rPr>
                <w:rFonts w:ascii="Arial" w:hAnsi="Arial"/>
                <w:sz w:val="18"/>
              </w:rPr>
              <w:t>نسبة عمولة الوكالة</w:t>
            </w:r>
          </w:p>
        </w:tc>
        <w:tc>
          <w:tcPr>
            <w:tcW w:type="dxa" w:w="4968"/>
          </w:tcPr>
          <w:p>
            <w:pPr>
              <w:jc w:val="right"/>
            </w:pPr>
            <w:r>
              <w:rPr>
                <w:rFonts w:ascii="Arial" w:hAnsi="Arial"/>
                <w:sz w:val="18"/>
              </w:rPr>
              <w:t>8%</w:t>
            </w:r>
          </w:p>
        </w:tc>
      </w:tr>
      <w:tr>
        <w:tc>
          <w:tcPr>
            <w:tcW w:type="dxa" w:w="4968"/>
          </w:tcPr>
          <w:p>
            <w:pPr>
              <w:jc w:val="right"/>
            </w:pPr>
            <w:r>
              <w:rPr>
                <w:rFonts w:ascii="Arial" w:hAnsi="Arial"/>
                <w:sz w:val="18"/>
              </w:rPr>
              <w:t>عمولة الوكالة</w:t>
            </w:r>
          </w:p>
        </w:tc>
        <w:tc>
          <w:tcPr>
            <w:tcW w:type="dxa" w:w="4968"/>
          </w:tcPr>
          <w:p>
            <w:pPr>
              <w:jc w:val="right"/>
            </w:pPr>
            <w:r>
              <w:rPr>
                <w:rFonts w:ascii="Arial" w:hAnsi="Arial"/>
                <w:sz w:val="18"/>
              </w:rPr>
              <w:t>8 USD</w:t>
            </w:r>
          </w:p>
        </w:tc>
      </w:tr>
      <w:tr>
        <w:tc>
          <w:tcPr>
            <w:tcW w:type="dxa" w:w="4968"/>
          </w:tcPr>
          <w:p>
            <w:pPr>
              <w:jc w:val="right"/>
            </w:pPr>
            <w:r>
              <w:rPr>
                <w:rFonts w:ascii="Arial" w:hAnsi="Arial"/>
                <w:sz w:val="18"/>
              </w:rPr>
              <w:t>مستحق المورد</w:t>
            </w:r>
          </w:p>
        </w:tc>
        <w:tc>
          <w:tcPr>
            <w:tcW w:type="dxa" w:w="4968"/>
          </w:tcPr>
          <w:p>
            <w:pPr>
              <w:jc w:val="right"/>
            </w:pPr>
            <w:r>
              <w:rPr>
                <w:rFonts w:ascii="Arial" w:hAnsi="Arial"/>
                <w:sz w:val="18"/>
              </w:rPr>
              <w:t>92 USD</w:t>
            </w:r>
          </w:p>
        </w:tc>
      </w:tr>
      <w:tr>
        <w:tc>
          <w:tcPr>
            <w:tcW w:type="dxa" w:w="4968"/>
          </w:tcPr>
          <w:p>
            <w:pPr>
              <w:jc w:val="right"/>
            </w:pPr>
            <w:r>
              <w:rPr>
                <w:rFonts w:ascii="Arial" w:hAnsi="Arial"/>
                <w:sz w:val="18"/>
              </w:rPr>
              <w:t>مثال رسوم دفع</w:t>
            </w:r>
          </w:p>
        </w:tc>
        <w:tc>
          <w:tcPr>
            <w:tcW w:type="dxa" w:w="4968"/>
          </w:tcPr>
          <w:p>
            <w:pPr>
              <w:jc w:val="right"/>
            </w:pPr>
            <w:r>
              <w:rPr>
                <w:rFonts w:ascii="Arial" w:hAnsi="Arial"/>
                <w:sz w:val="18"/>
              </w:rPr>
              <w:t>3 USD</w:t>
            </w:r>
          </w:p>
        </w:tc>
      </w:tr>
      <w:tr>
        <w:tc>
          <w:tcPr>
            <w:tcW w:type="dxa" w:w="4968"/>
          </w:tcPr>
          <w:p>
            <w:pPr>
              <w:jc w:val="right"/>
            </w:pPr>
            <w:r>
              <w:rPr>
                <w:rFonts w:ascii="Arial" w:hAnsi="Arial"/>
                <w:sz w:val="18"/>
              </w:rPr>
              <w:t>صافي الهامش بعد رسوم الدفع</w:t>
            </w:r>
          </w:p>
        </w:tc>
        <w:tc>
          <w:tcPr>
            <w:tcW w:type="dxa" w:w="4968"/>
          </w:tcPr>
          <w:p>
            <w:pPr>
              <w:jc w:val="right"/>
            </w:pPr>
            <w:r>
              <w:rPr>
                <w:rFonts w:ascii="Arial" w:hAnsi="Arial"/>
                <w:sz w:val="18"/>
              </w:rPr>
              <w:t>5 USD</w:t>
            </w:r>
          </w:p>
        </w:tc>
      </w:tr>
    </w:tbl>
    <w:p>
      <w:pPr>
        <w:pStyle w:val="Heading1"/>
        <w:spacing w:after="100"/>
        <w:jc w:val="right"/>
      </w:pPr>
      <w:r>
        <w:rPr>
          <w:rFonts w:ascii="Arial" w:hAnsi="Arial"/>
          <w:b w:val="0"/>
        </w:rPr>
        <w:t>ملحق C — مصفوفة صلاحيات مختصرة</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pPr>
              <w:jc w:val="right"/>
            </w:pPr>
            <w:r>
              <w:rPr>
                <w:rFonts w:ascii="Arial" w:hAnsi="Arial"/>
                <w:b/>
              </w:rPr>
              <w:t>العملية</w:t>
            </w:r>
          </w:p>
        </w:tc>
        <w:tc>
          <w:tcPr>
            <w:tcW w:type="dxa" w:w="1656"/>
          </w:tcPr>
          <w:p>
            <w:pPr>
              <w:jc w:val="right"/>
            </w:pPr>
            <w:r>
              <w:rPr>
                <w:rFonts w:ascii="Arial" w:hAnsi="Arial"/>
                <w:b/>
              </w:rPr>
              <w:t>الموظف</w:t>
            </w:r>
          </w:p>
        </w:tc>
        <w:tc>
          <w:tcPr>
            <w:tcW w:type="dxa" w:w="1656"/>
          </w:tcPr>
          <w:p>
            <w:pPr>
              <w:jc w:val="right"/>
            </w:pPr>
            <w:r>
              <w:rPr>
                <w:rFonts w:ascii="Arial" w:hAnsi="Arial"/>
                <w:b/>
              </w:rPr>
              <w:t>المشرف</w:t>
            </w:r>
          </w:p>
        </w:tc>
        <w:tc>
          <w:tcPr>
            <w:tcW w:type="dxa" w:w="1656"/>
          </w:tcPr>
          <w:p>
            <w:pPr>
              <w:jc w:val="right"/>
            </w:pPr>
            <w:r>
              <w:rPr>
                <w:rFonts w:ascii="Arial" w:hAnsi="Arial"/>
                <w:b/>
              </w:rPr>
              <w:t>المالية</w:t>
            </w:r>
          </w:p>
        </w:tc>
        <w:tc>
          <w:tcPr>
            <w:tcW w:type="dxa" w:w="1656"/>
          </w:tcPr>
          <w:p>
            <w:pPr>
              <w:jc w:val="right"/>
            </w:pPr>
            <w:r>
              <w:rPr>
                <w:rFonts w:ascii="Arial" w:hAnsi="Arial"/>
                <w:b/>
              </w:rPr>
              <w:t>المدير</w:t>
            </w:r>
          </w:p>
        </w:tc>
        <w:tc>
          <w:tcPr>
            <w:tcW w:type="dxa" w:w="1656"/>
          </w:tcPr>
          <w:p>
            <w:pPr>
              <w:jc w:val="right"/>
            </w:pPr>
            <w:r>
              <w:rPr>
                <w:rFonts w:ascii="Arial" w:hAnsi="Arial"/>
                <w:b/>
              </w:rPr>
              <w:t>مدير النظام</w:t>
            </w:r>
          </w:p>
        </w:tc>
      </w:tr>
      <w:tr>
        <w:tc>
          <w:tcPr>
            <w:tcW w:type="dxa" w:w="1656"/>
          </w:tcPr>
          <w:p>
            <w:pPr>
              <w:jc w:val="right"/>
            </w:pPr>
            <w:r>
              <w:rPr>
                <w:rFonts w:ascii="Arial" w:hAnsi="Arial"/>
                <w:sz w:val="18"/>
              </w:rPr>
              <w:t>عرض الطلب</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r>
      <w:tr>
        <w:tc>
          <w:tcPr>
            <w:tcW w:type="dxa" w:w="1656"/>
          </w:tcPr>
          <w:p>
            <w:pPr>
              <w:jc w:val="right"/>
            </w:pPr>
            <w:r>
              <w:rPr>
                <w:rFonts w:ascii="Arial" w:hAnsi="Arial"/>
                <w:sz w:val="18"/>
              </w:rPr>
              <w:t>إنشاء طلب</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r>
      <w:tr>
        <w:tc>
          <w:tcPr>
            <w:tcW w:type="dxa" w:w="1656"/>
          </w:tcPr>
          <w:p>
            <w:pPr>
              <w:jc w:val="right"/>
            </w:pPr>
            <w:r>
              <w:rPr>
                <w:rFonts w:ascii="Arial" w:hAnsi="Arial"/>
                <w:sz w:val="18"/>
              </w:rPr>
              <w:t>تعديل الطلب</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r>
      <w:tr>
        <w:tc>
          <w:tcPr>
            <w:tcW w:type="dxa" w:w="1656"/>
          </w:tcPr>
          <w:p>
            <w:pPr>
              <w:jc w:val="right"/>
            </w:pPr>
            <w:r>
              <w:rPr>
                <w:rFonts w:ascii="Arial" w:hAnsi="Arial"/>
                <w:sz w:val="18"/>
              </w:rPr>
              <w:t>اعتماد استرداد</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r>
      <w:tr>
        <w:tc>
          <w:tcPr>
            <w:tcW w:type="dxa" w:w="1656"/>
          </w:tcPr>
          <w:p>
            <w:pPr>
              <w:jc w:val="right"/>
            </w:pPr>
            <w:r>
              <w:rPr>
                <w:rFonts w:ascii="Arial" w:hAnsi="Arial"/>
                <w:sz w:val="18"/>
              </w:rPr>
              <w:t>تعديل العمولة</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r>
      <w:tr>
        <w:tc>
          <w:tcPr>
            <w:tcW w:type="dxa" w:w="1656"/>
          </w:tcPr>
          <w:p>
            <w:pPr>
              <w:jc w:val="right"/>
            </w:pPr>
            <w:r>
              <w:rPr>
                <w:rFonts w:ascii="Arial" w:hAnsi="Arial"/>
                <w:sz w:val="18"/>
              </w:rPr>
              <w:t>إدارة الموظفين</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r>
      <w:tr>
        <w:tc>
          <w:tcPr>
            <w:tcW w:type="dxa" w:w="1656"/>
          </w:tcPr>
          <w:p>
            <w:pPr>
              <w:jc w:val="right"/>
            </w:pPr>
            <w:r>
              <w:rPr>
                <w:rFonts w:ascii="Arial" w:hAnsi="Arial"/>
                <w:sz w:val="18"/>
              </w:rPr>
              <w:t>إدارة الصلاحيات</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c>
          <w:tcPr>
            <w:tcW w:type="dxa" w:w="1656"/>
          </w:tcPr>
          <w:p>
            <w:pPr>
              <w:jc w:val="right"/>
            </w:pPr>
            <w:r>
              <w:rPr>
                <w:rFonts w:ascii="Arial" w:hAnsi="Arial"/>
                <w:sz w:val="18"/>
              </w:rPr>
              <w:t>✓</w:t>
            </w:r>
          </w:p>
        </w:tc>
      </w:tr>
    </w:tbl>
    <w:p>
      <w:pPr>
        <w:pStyle w:val="Heading1"/>
        <w:spacing w:after="100"/>
        <w:jc w:val="right"/>
      </w:pPr>
      <w:r>
        <w:rPr>
          <w:rFonts w:ascii="Arial" w:hAnsi="Arial"/>
          <w:b w:val="0"/>
        </w:rPr>
        <w:t>ملاحظة ختامية</w:t>
      </w:r>
    </w:p>
    <w:p>
      <w:pPr>
        <w:spacing w:after="100"/>
        <w:jc w:val="right"/>
      </w:pPr>
      <w:r>
        <w:rPr>
          <w:rFonts w:ascii="Arial" w:hAnsi="Arial"/>
          <w:b w:val="0"/>
        </w:rPr>
        <w:t>هذه الوثيقة تمثل مواصفات تنفيذية تفصيلية قابلة للاستخدام كمرجع لطلب عروض فنية ومالية من شركات البرمجة. قبل بدء التنفيذ النهائي، يجب اعتماد مزودي خدمات الطيران والفنادق والتأشيرات والدفع، واعتماد السياسة المحاسبية والضوابط المالية ونموذج العمولة والتسوية.</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منصة السوق الإلكتروني للخدمات والسفر وإدارة الوكالة — وثيقة المتطلبات الفنية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