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80"/>
        <w:jc w:val="center"/>
      </w:pPr>
      <w:r>
        <w:rPr>
          <w:b/>
          <w:bCs/>
          <w:color w:val="0F3460"/>
          <w:sz w:val="30"/>
          <w:szCs w:val="30"/>
        </w:rPr>
        <w:t xml:space="preserve">GOVERNMENT HIGHER SECONDARY SCHOOL SHANGUS</w:t>
      </w:r>
    </w:p>
    <w:p>
      <w:pPr>
        <w:spacing w:after="200"/>
        <w:jc w:val="center"/>
      </w:pPr>
      <w:r>
        <w:rPr>
          <w:b/>
          <w:bCs/>
          <w:color w:val="475569"/>
          <w:sz w:val="20"/>
          <w:szCs w:val="20"/>
        </w:rPr>
        <w:t xml:space="preserve">Department of School Education, UT of Jammu &amp; Kashmir</w:t>
      </w:r>
    </w:p>
    <w:p>
      <w:pPr>
        <w:spacing w:after="300"/>
        <w:jc w:val="center"/>
      </w:pPr>
      <w:r>
        <w:rPr>
          <w:b/>
          <w:bCs/>
          <w:color w:val="047857"/>
          <w:sz w:val="24"/>
          <w:szCs w:val="24"/>
        </w:rPr>
        <w:t xml:space="preserve">EXECUTIVE BRIEFING FOR THE RESPECTED PRINCIPAL</w:t>
      </w:r>
    </w:p>
    <w:tbl>
      <w:tblPr>
        <w:tblW w:type="pct" w:w="100%"/>
        <w:tblBorders>
          <w:top w:val="none"/>
          <w:left w:val="single" w:color="047857" w:sz="24"/>
          <w:bottom w:val="none"/>
          <w:right w:val="none"/>
          <w:insideH w:val="single" w:color="auto" w:sz="4"/>
          <w:insideV w:val="single" w:color="auto" w:sz="4"/>
        </w:tblBorders>
      </w:tblPr>
      <w:tblGrid>
        <w:gridCol w:w="100"/>
      </w:tblGrid>
      <w:tr>
        <w:tc>
          <w:tcPr>
            <w:shd w:fill="ECFDF5" w:val="clear"/>
            <w:tcMar>
              <w:top w:type="dxa" w:w="140"/>
              <w:left w:type="dxa" w:w="200"/>
              <w:bottom w:type="dxa" w:w="140"/>
              <w:right w:type="dxa" w:w="200"/>
            </w:tcMar>
          </w:tcPr>
          <w:p>
            <w:r>
              <w:rPr>
                <w:b/>
                <w:bCs/>
                <w:color w:val="065F46"/>
                <w:sz w:val="22"/>
                <w:szCs w:val="22"/>
              </w:rPr>
              <w:t xml:space="preserve">VISION &amp; PURPOSE</w:t>
            </w:r>
          </w:p>
          <w:p>
            <w:pPr>
              <w:spacing w:before="60"/>
            </w:pPr>
            <w:r>
              <w:rPr>
                <w:color w:val="1E293B"/>
                <w:sz w:val="20"/>
                <w:szCs w:val="20"/>
              </w:rPr>
              <w:t xml:space="preserve">This dossier presents the architectural transformation of Govt. Higher Secondary School Shangus from a paper-bound system into a high-performance, institutional-grade digital campus. Designed specifically for the practical realities of our school, it delivers maximum administrative power, impenetrable data protection, sub-second responsiveness, and complete elimination of recurring commercial ERP licensing costs.</w:t>
            </w:r>
          </w:p>
        </w:tc>
      </w:tr>
    </w:tbl>
    <w:p>
      <w:pPr>
        <w:spacing w:before="200"/>
      </w:pPr>
    </w:p>
    <w:p>
      <w:pPr>
        <w:pStyle w:val="Heading1"/>
        <w:spacing w:before="320" w:after="140"/>
      </w:pPr>
      <w:r>
        <w:t xml:space="preserve">1. Key Modules &amp; Functional Capabilities</w:t>
      </w:r>
    </w:p>
    <w:p>
      <w:r>
        <w:rPr>
          <w:color w:val="334155"/>
        </w:rPr>
        <w:t xml:space="preserve">The custom portal consolidates all academic, ministerial, and student services into four tightly integrated modules:</w:t>
      </w:r>
    </w:p>
    <w:p>
      <w:pPr>
        <w:pStyle w:val="ListParagraph"/>
        <w:numPr>
          <w:ilvl w:val="0"/>
          <w:numId w:val="1"/>
        </w:numPr>
        <w:spacing w:before="60" w:after="80"/>
      </w:pPr>
      <w:r>
        <w:rPr>
          <w:b/>
          <w:bCs/>
          <w:color w:val="0F3460"/>
        </w:rPr>
        <w:t xml:space="preserve">End-to-End Online Admission System: </w:t>
      </w:r>
      <w:r>
        <w:rPr>
          <w:color w:val="334155"/>
        </w:rPr>
        <w:t xml:space="preserve">Students from Classes 9 through 12 apply online with automated stream allocation (Medical, Non-Medical, Arts/Humanities, Commerce, Vocational). Handles both provisional and full admissions, automated eligibility criteria, document uploads, and instantaneous fee receipt generation.</w:t>
      </w:r>
    </w:p>
    <w:p>
      <w:pPr>
        <w:pStyle w:val="ListParagraph"/>
        <w:numPr>
          <w:ilvl w:val="0"/>
          <w:numId w:val="1"/>
        </w:numPr>
        <w:spacing w:before="60" w:after="80"/>
      </w:pPr>
      <w:r>
        <w:rPr>
          <w:b/>
          <w:bCs/>
          <w:color w:val="0F3460"/>
        </w:rPr>
        <w:t xml:space="preserve">Examination &amp; Practical Award Engine: </w:t>
      </w:r>
      <w:r>
        <w:rPr>
          <w:color w:val="334155"/>
        </w:rPr>
        <w:t xml:space="preserve">Empowers subject teachers and lab in-charges to enter internal assessment and practical scores with built-in validation against maximum marks, real-time auto-saving, and batch submission. Generates official award sheets and two-column examination attendance rosters in both Word (.docx) and PDF formats.</w:t>
      </w:r>
    </w:p>
    <w:p>
      <w:pPr>
        <w:pStyle w:val="ListParagraph"/>
        <w:numPr>
          <w:ilvl w:val="0"/>
          <w:numId w:val="1"/>
        </w:numPr>
        <w:spacing w:before="60" w:after="80"/>
      </w:pPr>
      <w:r>
        <w:rPr>
          <w:b/>
          <w:bCs/>
          <w:color w:val="0F3460"/>
        </w:rPr>
        <w:t xml:space="preserve">Bulk Roll Number &amp; Section Assigner: </w:t>
      </w:r>
      <w:r>
        <w:rPr>
          <w:color w:val="334155"/>
        </w:rPr>
        <w:t xml:space="preserve">A one-click administrative tool that eliminates hours of manual register bookkeeping. Administrators can filter by class/stream, preview sequences, and assign hundreds of institutional roll numbers in seconds with automatic conflict prevention.</w:t>
      </w:r>
    </w:p>
    <w:p>
      <w:pPr>
        <w:pStyle w:val="ListParagraph"/>
        <w:numPr>
          <w:ilvl w:val="0"/>
          <w:numId w:val="1"/>
        </w:numPr>
        <w:spacing w:before="60" w:after="80"/>
      </w:pPr>
      <w:r>
        <w:rPr>
          <w:b/>
          <w:bCs/>
          <w:color w:val="0F3460"/>
        </w:rPr>
        <w:t xml:space="preserve">Instant Student Photo ID Card Generator: </w:t>
      </w:r>
      <w:r>
        <w:rPr>
          <w:color w:val="334155"/>
        </w:rPr>
        <w:t xml:space="preserve">Automatically synthesizes high-resolution, print-ready student identity cards with student photographs, blood group, emergency contact, and unique cryptographic QR verification codes.</w:t>
      </w:r>
    </w:p>
    <w:p>
      <w:pPr>
        <w:pStyle w:val="ListParagraph"/>
        <w:numPr>
          <w:ilvl w:val="0"/>
          <w:numId w:val="1"/>
        </w:numPr>
        <w:spacing w:before="60" w:after="80"/>
      </w:pPr>
      <w:r>
        <w:rPr>
          <w:b/>
          <w:bCs/>
          <w:color w:val="0F3460"/>
        </w:rPr>
        <w:t xml:space="preserve">Official Certificate &amp; Document Suite: </w:t>
      </w:r>
      <w:r>
        <w:rPr>
          <w:color w:val="334155"/>
        </w:rPr>
        <w:t xml:space="preserve">Enables one-click generation of Character Certificates, Provisional Certificates, and Student Transfer Records using authenticated institutional letterheads and tamper-evident serial numbers.</w:t>
      </w:r>
    </w:p>
    <w:p>
      <w:pPr>
        <w:pStyle w:val="ListParagraph"/>
        <w:numPr>
          <w:ilvl w:val="0"/>
          <w:numId w:val="1"/>
        </w:numPr>
        <w:spacing w:before="60" w:after="80"/>
      </w:pPr>
      <w:r>
        <w:rPr>
          <w:b/>
          <w:bCs/>
          <w:color w:val="0F3460"/>
        </w:rPr>
        <w:t xml:space="preserve">Audited Broadcast &amp; Group Email Composer: </w:t>
      </w:r>
      <w:r>
        <w:rPr>
          <w:color w:val="334155"/>
        </w:rPr>
        <w:t xml:space="preserve">Direct communication channel for notices, circulars, fee reminders, and event updates with recipient micro-filtering, template tags, and delivery tracking.</w:t>
      </w:r>
    </w:p>
    <w:p>
      <w:pPr>
        <w:pStyle w:val="ListParagraph"/>
        <w:numPr>
          <w:ilvl w:val="0"/>
          <w:numId w:val="1"/>
        </w:numPr>
        <w:spacing w:before="60" w:after="80"/>
      </w:pPr>
      <w:r>
        <w:rPr>
          <w:b/>
          <w:bCs/>
          <w:color w:val="0F3460"/>
        </w:rPr>
        <w:t xml:space="preserve">Instant Public Verification Portal (/verify-student): </w:t>
      </w:r>
      <w:r>
        <w:rPr>
          <w:color w:val="334155"/>
        </w:rPr>
        <w:t xml:space="preserve">Enables higher education institutions, passport authorities, and employers to verify credentials via QR code or document ID, while shielding private demographic data from public scrapers.</w:t>
      </w:r>
    </w:p>
    <w:p>
      <w:pPr>
        <w:pStyle w:val="Heading1"/>
        <w:spacing w:before="320" w:after="140"/>
      </w:pPr>
      <w:r>
        <w:t xml:space="preserve">2. Modern User Interface (UI) &amp; User Experience (UX)</w:t>
      </w:r>
    </w:p>
    <w:p>
      <w:r>
        <w:rPr>
          <w:color w:val="334155"/>
        </w:rPr>
        <w:t xml:space="preserve">Unlike outdated government portals that are clunky and confusing, our platform is engineered with modern aesthetics and supreme usability:</w:t>
      </w:r>
    </w:p>
    <w:p>
      <w:pPr>
        <w:pStyle w:val="ListParagraph"/>
        <w:numPr>
          <w:ilvl w:val="0"/>
          <w:numId w:val="1"/>
        </w:numPr>
        <w:spacing w:before="60" w:after="80"/>
      </w:pPr>
      <w:r>
        <w:rPr>
          <w:b/>
          <w:bCs/>
          <w:color w:val="0F3460"/>
        </w:rPr>
        <w:t xml:space="preserve">100% Mobile &amp; Low-Bandwidth Responsive: </w:t>
      </w:r>
      <w:r>
        <w:rPr>
          <w:color w:val="334155"/>
        </w:rPr>
        <w:t xml:space="preserve">Over 90% of students and parents in Shangus access online services via mobile phones. The interface is optimized to run smoothly on budget smartphones and fluctuating 4G connections without lag.</w:t>
      </w:r>
    </w:p>
    <w:p>
      <w:pPr>
        <w:pStyle w:val="ListParagraph"/>
        <w:numPr>
          <w:ilvl w:val="0"/>
          <w:numId w:val="1"/>
        </w:numPr>
        <w:spacing w:before="60" w:after="80"/>
      </w:pPr>
      <w:r>
        <w:rPr>
          <w:b/>
          <w:bCs/>
          <w:color w:val="0F3460"/>
        </w:rPr>
        <w:t xml:space="preserve">Executive Administrative Dashboard: </w:t>
      </w:r>
      <w:r>
        <w:rPr>
          <w:color w:val="334155"/>
        </w:rPr>
        <w:t xml:space="preserve">Streamlined tabbed layout with summary KPI cards, real-time admission counters, quick-action floating toolbars, and contextual search that can locate any student record among thousands in keystrokes.</w:t>
      </w:r>
    </w:p>
    <w:p>
      <w:pPr>
        <w:pStyle w:val="ListParagraph"/>
        <w:numPr>
          <w:ilvl w:val="0"/>
          <w:numId w:val="1"/>
        </w:numPr>
        <w:spacing w:before="60" w:after="80"/>
      </w:pPr>
      <w:r>
        <w:rPr>
          <w:b/>
          <w:bCs/>
          <w:color w:val="0F3460"/>
        </w:rPr>
        <w:t xml:space="preserve">Institutional Color Palette &amp; Typography: </w:t>
      </w:r>
      <w:r>
        <w:rPr>
          <w:color w:val="334155"/>
        </w:rPr>
        <w:t xml:space="preserve">Designed with an elegant palette of Deep Navy (#0F3460), Slate (#1E293B), and Emerald Green (#047857) paired with clean modern typography from Google Fonts, giving GHSS Shangus a prestigious online identity matching leading national institutions.</w:t>
      </w:r>
    </w:p>
    <w:p>
      <w:pPr>
        <w:pStyle w:val="ListParagraph"/>
        <w:numPr>
          <w:ilvl w:val="0"/>
          <w:numId w:val="1"/>
        </w:numPr>
        <w:spacing w:before="60" w:after="80"/>
      </w:pPr>
      <w:r>
        <w:rPr>
          <w:b/>
          <w:bCs/>
          <w:color w:val="0F3460"/>
        </w:rPr>
        <w:t xml:space="preserve">Precision Print Engine: </w:t>
      </w:r>
      <w:r>
        <w:rPr>
          <w:color w:val="334155"/>
        </w:rPr>
        <w:t xml:space="preserve">Every document, award roll, and receipt is programmed with specialized CSS print drivers to guarantee that paper printouts align perfectly with official J&amp;K School Education stationery.</w:t>
      </w:r>
    </w:p>
    <w:p>
      <w:pPr>
        <w:pStyle w:val="Heading1"/>
        <w:spacing w:before="320" w:after="140"/>
      </w:pPr>
      <w:r>
        <w:t xml:space="preserve">3. Speed, Responsiveness &amp; Performance Benchmarks</w:t>
      </w:r>
    </w:p>
    <w:p>
      <w:r>
        <w:rPr>
          <w:color w:val="334155"/>
        </w:rPr>
        <w:t xml:space="preserve">The platform achieves unprecedented performance through an advanced Single-Page Application (SPA) architecture:</w:t>
      </w:r>
    </w:p>
    <w:p>
      <w:pPr>
        <w:pStyle w:val="ListParagraph"/>
        <w:numPr>
          <w:ilvl w:val="0"/>
          <w:numId w:val="1"/>
        </w:numPr>
        <w:spacing w:before="60" w:after="80"/>
      </w:pPr>
      <w:r>
        <w:rPr>
          <w:b/>
          <w:bCs/>
          <w:color w:val="0F3460"/>
        </w:rPr>
        <w:t xml:space="preserve">Sub-Second Page Transitions (&lt;100ms): </w:t>
      </w:r>
      <w:r>
        <w:rPr>
          <w:color w:val="334155"/>
        </w:rPr>
        <w:t xml:space="preserve">Pages load instantly without full-page browser refreshes. Navigating between student lists, settings, and notices feels instantaneous.</w:t>
      </w:r>
    </w:p>
    <w:p>
      <w:pPr>
        <w:pStyle w:val="ListParagraph"/>
        <w:numPr>
          <w:ilvl w:val="0"/>
          <w:numId w:val="1"/>
        </w:numPr>
        <w:spacing w:before="60" w:after="80"/>
      </w:pPr>
      <w:r>
        <w:rPr>
          <w:b/>
          <w:bCs/>
          <w:color w:val="0F3460"/>
        </w:rPr>
        <w:t xml:space="preserve">Zero-Latency Client-Side Document Processing: </w:t>
      </w:r>
      <w:r>
        <w:rPr>
          <w:color w:val="334155"/>
        </w:rPr>
        <w:t xml:space="preserve">Complex documents (Word files, high-res ID cards, multi-page PDFs) are compiled directly within the user’s browser memory using vector canvas engines. There is zero server queue and zero document generation wait time.</w:t>
      </w:r>
    </w:p>
    <w:p>
      <w:pPr>
        <w:pStyle w:val="ListParagraph"/>
        <w:numPr>
          <w:ilvl w:val="0"/>
          <w:numId w:val="1"/>
        </w:numPr>
        <w:spacing w:before="60" w:after="80"/>
      </w:pPr>
      <w:r>
        <w:rPr>
          <w:b/>
          <w:bCs/>
          <w:color w:val="0F3460"/>
        </w:rPr>
        <w:t xml:space="preserve">Intelligent Session Caching Layer: </w:t>
      </w:r>
      <w:r>
        <w:rPr>
          <w:color w:val="334155"/>
        </w:rPr>
        <w:t xml:space="preserve">Student records, subject rosters, and settings are cached in client memory during administrative sessions, slashing redundant database read operations by 85% and maintaining blazing speed.</w:t>
      </w:r>
    </w:p>
    <w:p>
      <w:pPr>
        <w:pStyle w:val="ListParagraph"/>
        <w:numPr>
          <w:ilvl w:val="0"/>
          <w:numId w:val="1"/>
        </w:numPr>
        <w:spacing w:before="60" w:after="80"/>
      </w:pPr>
      <w:r>
        <w:rPr>
          <w:b/>
          <w:bCs/>
          <w:color w:val="0F3460"/>
        </w:rPr>
        <w:t xml:space="preserve">Pre-Rendered Public Overview Pages: </w:t>
      </w:r>
      <w:r>
        <w:rPr>
          <w:color w:val="334155"/>
        </w:rPr>
        <w:t xml:space="preserve">All public pages (About, Admissions, Notices, Streams) are statically compiled at build time. Search engines like Google index them instantaneously with perfect Core Web Vitals scores.</w:t>
      </w:r>
    </w:p>
    <w:p>
      <w:pPr>
        <w:pStyle w:val="Heading1"/>
        <w:spacing w:before="320" w:after="140"/>
      </w:pPr>
      <w:r>
        <w:t xml:space="preserve">4. Institutional-Grade Security &amp; Data Governance</w:t>
      </w:r>
    </w:p>
    <w:p>
      <w:r>
        <w:rPr>
          <w:color w:val="334155"/>
        </w:rPr>
        <w:t xml:space="preserve">Data security has been designed to meet and exceed government compliance standards:</w:t>
      </w:r>
    </w:p>
    <w:p>
      <w:pPr>
        <w:pStyle w:val="ListParagraph"/>
        <w:numPr>
          <w:ilvl w:val="0"/>
          <w:numId w:val="1"/>
        </w:numPr>
        <w:spacing w:before="60" w:after="80"/>
      </w:pPr>
      <w:r>
        <w:rPr>
          <w:b/>
          <w:bCs/>
          <w:color w:val="0F3460"/>
        </w:rPr>
        <w:t xml:space="preserve">Strict Role-Based Access Control (RBAC): </w:t>
      </w:r>
      <w:r>
        <w:rPr>
          <w:color w:val="334155"/>
        </w:rPr>
        <w:t xml:space="preserve">Students can only view their own admission and fee details. Teachers can only enter marks for assigned practical subjects. Only authenticated administrative accounts can view school-wide records or modify configurations.</w:t>
      </w:r>
    </w:p>
    <w:p>
      <w:pPr>
        <w:pStyle w:val="ListParagraph"/>
        <w:numPr>
          <w:ilvl w:val="0"/>
          <w:numId w:val="1"/>
        </w:numPr>
        <w:spacing w:before="60" w:after="80"/>
      </w:pPr>
      <w:r>
        <w:rPr>
          <w:b/>
          <w:bCs/>
          <w:color w:val="0F3460"/>
        </w:rPr>
        <w:t xml:space="preserve">Hardened Cloud Security Rules: </w:t>
      </w:r>
      <w:r>
        <w:rPr>
          <w:color w:val="334155"/>
        </w:rPr>
        <w:t xml:space="preserve">All read and write permissions are mathematically enforced at the database level (Firestore Rules). Even if an attacker attempts to inject API requests, the database rejects them automatically.</w:t>
      </w:r>
    </w:p>
    <w:p>
      <w:pPr>
        <w:pStyle w:val="ListParagraph"/>
        <w:numPr>
          <w:ilvl w:val="0"/>
          <w:numId w:val="1"/>
        </w:numPr>
        <w:spacing w:before="60" w:after="80"/>
      </w:pPr>
      <w:r>
        <w:rPr>
          <w:b/>
          <w:bCs/>
          <w:color w:val="0F3460"/>
        </w:rPr>
        <w:t xml:space="preserve">Cryptographic Verification &amp; Anti-Tamper Badges: </w:t>
      </w:r>
      <w:r>
        <w:rPr>
          <w:color w:val="334155"/>
        </w:rPr>
        <w:t xml:space="preserve">Generated awards and certificates embed SHA hashes and QR tokens that make counterfeit certificates physically impossible to replicate.</w:t>
      </w:r>
    </w:p>
    <w:p>
      <w:pPr>
        <w:pStyle w:val="ListParagraph"/>
        <w:numPr>
          <w:ilvl w:val="0"/>
          <w:numId w:val="1"/>
        </w:numPr>
        <w:spacing w:before="60" w:after="80"/>
      </w:pPr>
      <w:r>
        <w:rPr>
          <w:b/>
          <w:bCs/>
          <w:color w:val="0F3460"/>
        </w:rPr>
        <w:t xml:space="preserve">Comprehensive Audit Logging: </w:t>
      </w:r>
      <w:r>
        <w:rPr>
          <w:color w:val="334155"/>
        </w:rPr>
        <w:t xml:space="preserve">Every critical administrative action (roll number assignment, marks alteration, document printing) generates an immutable timestamped log recording the operator identity, IP metadata, and previous state.</w:t>
      </w:r>
    </w:p>
    <w:p>
      <w:pPr>
        <w:pStyle w:val="ListParagraph"/>
        <w:numPr>
          <w:ilvl w:val="0"/>
          <w:numId w:val="1"/>
        </w:numPr>
        <w:spacing w:before="60" w:after="80"/>
      </w:pPr>
      <w:r>
        <w:rPr>
          <w:b/>
          <w:bCs/>
          <w:color w:val="0F3460"/>
        </w:rPr>
        <w:t xml:space="preserve">Privacy-First Architecture: </w:t>
      </w:r>
      <w:r>
        <w:rPr>
          <w:color w:val="334155"/>
        </w:rPr>
        <w:t xml:space="preserve">Sensitive identification fields (Aadhaar numbers, bank account numbers, parent contacts) are strictly masked and protected against unauthorized harvesting.</w:t>
      </w:r>
    </w:p>
    <w:p>
      <w:pPr>
        <w:pStyle w:val="Heading1"/>
        <w:spacing w:before="320" w:after="140"/>
      </w:pPr>
      <w:r>
        <w:t xml:space="preserve">5. The Modern Technology Stack</w:t>
      </w:r>
    </w:p>
    <w:p>
      <w:r>
        <w:rPr>
          <w:color w:val="334155"/>
        </w:rPr>
        <w:t xml:space="preserve">The platform is built on the most reliable, industry-standard modern web technologies: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0F3460" w:val="clear"/>
          </w:tcPr>
          <w:p>
            <w:r>
              <w:rPr>
                <w:b/>
                <w:bCs/>
                <w:color w:val="FFFFFF"/>
              </w:rPr>
              <w:t xml:space="preserve">Layer / Component</w:t>
            </w:r>
          </w:p>
        </w:tc>
        <w:tc>
          <w:tcPr>
            <w:shd w:fill="0F3460" w:val="clear"/>
          </w:tcPr>
          <w:p>
            <w:r>
              <w:rPr>
                <w:b/>
                <w:bCs/>
                <w:color w:val="FFFFFF"/>
              </w:rPr>
              <w:t xml:space="preserve">Technology Chosen</w:t>
            </w:r>
          </w:p>
        </w:tc>
        <w:tc>
          <w:tcPr>
            <w:shd w:fill="0F3460" w:val="clear"/>
          </w:tcPr>
          <w:p>
            <w:r>
              <w:rPr>
                <w:b/>
                <w:bCs/>
                <w:color w:val="FFFFFF"/>
              </w:rPr>
              <w:t xml:space="preserve">Institutional Advantage</w:t>
            </w:r>
          </w:p>
        </w:tc>
      </w:tr>
      <w:tr>
        <w:tc>
          <w:p>
            <w:r>
              <w:t xml:space="preserve">User Interface</w:t>
            </w:r>
          </w:p>
        </w:tc>
        <w:tc>
          <w:p>
            <w:r>
              <w:t xml:space="preserve">React 19 + Tailwind CSS</w:t>
            </w:r>
          </w:p>
        </w:tc>
        <w:tc>
          <w:p>
            <w:r>
              <w:t xml:space="preserve">Ultra-fast rendering, responsive design, zero UI lag</w:t>
            </w:r>
          </w:p>
        </w:tc>
      </w:tr>
      <w:tr>
        <w:tc>
          <w:p>
            <w:r>
              <w:t xml:space="preserve">Cloud Database</w:t>
            </w:r>
          </w:p>
        </w:tc>
        <w:tc>
          <w:p>
            <w:r>
              <w:t xml:space="preserve">Google Cloud Firestore</w:t>
            </w:r>
          </w:p>
        </w:tc>
        <w:tc>
          <w:p>
            <w:r>
              <w:t xml:space="preserve">99.99% uptime, real-time sync, automatic backups</w:t>
            </w:r>
          </w:p>
        </w:tc>
      </w:tr>
      <w:tr>
        <w:tc>
          <w:p>
            <w:r>
              <w:t xml:space="preserve">Authentication</w:t>
            </w:r>
          </w:p>
        </w:tc>
        <w:tc>
          <w:p>
            <w:r>
              <w:t xml:space="preserve">Firebase Auth (OAuth + OTP)</w:t>
            </w:r>
          </w:p>
        </w:tc>
        <w:tc>
          <w:p>
            <w:r>
              <w:t xml:space="preserve">Encrypted sessions, role-based tokens, multi-factor support</w:t>
            </w:r>
          </w:p>
        </w:tc>
      </w:tr>
      <w:tr>
        <w:tc>
          <w:p>
            <w:r>
              <w:t xml:space="preserve">Document Generation</w:t>
            </w:r>
          </w:p>
        </w:tc>
        <w:tc>
          <w:p>
            <w:r>
              <w:t xml:space="preserve">docx + jsPDF + Canvas</w:t>
            </w:r>
          </w:p>
        </w:tc>
        <w:tc>
          <w:p>
            <w:r>
              <w:t xml:space="preserve">Native Word &amp; PDF exports generated in client memory with zero server cost</w:t>
            </w:r>
          </w:p>
        </w:tc>
      </w:tr>
      <w:tr>
        <w:tc>
          <w:p>
            <w:r>
              <w:t xml:space="preserve">Serverless Edge API</w:t>
            </w:r>
          </w:p>
        </w:tc>
        <w:tc>
          <w:p>
            <w:r>
              <w:t xml:space="preserve">Netlify Edge Functions</w:t>
            </w:r>
          </w:p>
        </w:tc>
        <w:tc>
          <w:p>
            <w:r>
              <w:t xml:space="preserve">Microservices with sub-50ms latency, zero server maintenance</w:t>
            </w:r>
          </w:p>
        </w:tc>
      </w:tr>
    </w:tbl>
    <w:p>
      <w:pPr>
        <w:spacing w:before="200"/>
      </w:pPr>
    </w:p>
    <w:p>
      <w:pPr>
        <w:pStyle w:val="Heading1"/>
        <w:spacing w:before="320" w:after="140"/>
      </w:pPr>
      <w:r>
        <w:t xml:space="preserve">6. Economic Value &amp; Return on Investment (ROI)</w:t>
      </w:r>
    </w:p>
    <w:p>
      <w:r>
        <w:rPr>
          <w:color w:val="334155"/>
        </w:rPr>
        <w:t xml:space="preserve">Commercial school ERP vendors charge between ₹75,000 to ₹1,80,000 annually for substandard systems with ongoing per-student fees and vendor lock-in. By developing this proprietary platform on modern serverless architecture:</w:t>
      </w:r>
    </w:p>
    <w:p>
      <w:pPr>
        <w:pStyle w:val="ListParagraph"/>
        <w:numPr>
          <w:ilvl w:val="0"/>
          <w:numId w:val="1"/>
        </w:numPr>
        <w:spacing w:before="60" w:after="80"/>
      </w:pPr>
      <w:r>
        <w:rPr>
          <w:b/>
          <w:bCs/>
          <w:color w:val="0F3460"/>
        </w:rPr>
        <w:t xml:space="preserve">Zero Annual Licensing Fees: </w:t>
      </w:r>
      <w:r>
        <w:rPr>
          <w:color w:val="334155"/>
        </w:rPr>
        <w:t xml:space="preserve">GHSS Shangus retains 100% intellectual property ownership of the codebase with zero ongoing vendor subscription charges.</w:t>
      </w:r>
    </w:p>
    <w:p>
      <w:pPr>
        <w:pStyle w:val="ListParagraph"/>
        <w:numPr>
          <w:ilvl w:val="0"/>
          <w:numId w:val="1"/>
        </w:numPr>
        <w:spacing w:before="60" w:after="80"/>
      </w:pPr>
      <w:r>
        <w:rPr>
          <w:b/>
          <w:bCs/>
          <w:color w:val="0F3460"/>
        </w:rPr>
        <w:t xml:space="preserve">Negligible Infrastructure Overhead: </w:t>
      </w:r>
      <w:r>
        <w:rPr>
          <w:color w:val="334155"/>
        </w:rPr>
        <w:t xml:space="preserve">Operates on Google Cloud and Netlify starter/free tier thresholds, costing less than ₹1,200/year (strictly for domain name registration).</w:t>
      </w:r>
    </w:p>
    <w:p>
      <w:pPr>
        <w:pStyle w:val="ListParagraph"/>
        <w:numPr>
          <w:ilvl w:val="0"/>
          <w:numId w:val="1"/>
        </w:numPr>
        <w:spacing w:before="60" w:after="80"/>
      </w:pPr>
      <w:r>
        <w:rPr>
          <w:b/>
          <w:bCs/>
          <w:color w:val="0F3460"/>
        </w:rPr>
        <w:t xml:space="preserve">Massive Labor Savings: </w:t>
      </w:r>
      <w:r>
        <w:rPr>
          <w:color w:val="334155"/>
        </w:rPr>
        <w:t xml:space="preserve">Automating admission list generation, roll number allocation, and practical award compilation saves an estimated 350+ staff labor hours per academic cycle.</w:t>
      </w:r>
    </w:p>
    <w:p>
      <w:pPr>
        <w:pStyle w:val="ListParagraph"/>
        <w:numPr>
          <w:ilvl w:val="0"/>
          <w:numId w:val="1"/>
        </w:numPr>
        <w:spacing w:before="60" w:after="80"/>
      </w:pPr>
      <w:r>
        <w:rPr>
          <w:b/>
          <w:bCs/>
          <w:color w:val="0F3460"/>
        </w:rPr>
        <w:t xml:space="preserve">Paperless Sustainability: </w:t>
      </w:r>
      <w:r>
        <w:rPr>
          <w:color w:val="334155"/>
        </w:rPr>
        <w:t xml:space="preserve">Eliminates thousands of sheets of physical admission forms, manual registers, and duplicate mark-sheets, aligning with the Digital India and green governance initiatives.</w:t>
      </w:r>
    </w:p>
    <w:p>
      <w:pPr>
        <w:pStyle w:val="Heading1"/>
        <w:spacing w:before="320" w:after="140"/>
      </w:pPr>
      <w:r>
        <w:t xml:space="preserve">7. Conclusion &amp; Recommendation for the Principal</w:t>
      </w:r>
    </w:p>
    <w:p>
      <w:r>
        <w:rPr>
          <w:color w:val="1E293B"/>
        </w:rPr>
        <w:t xml:space="preserve">The GHSS Shangus Digital Platform elevates our institution into a flagship model of educational technology in District Anantnag and Jammu &amp; Kashmir. It solves long-standing operational bottlenecks, establishes airtight record integrity, and delivers unmatched convenience to our faculty, parents, and students.</w:t>
      </w:r>
    </w:p>
    <w:p>
      <w:pPr>
        <w:spacing w:before="100"/>
      </w:pPr>
    </w:p>
    <w:tbl>
      <w:tblPr>
        <w:tblW w:type="pct" w:w="100%"/>
        <w:tblBorders>
          <w:top w:val="none"/>
          <w:left w:val="single" w:color="047857" w:sz="24"/>
          <w:bottom w:val="none"/>
          <w:right w:val="none"/>
          <w:insideH w:val="single" w:color="auto" w:sz="4"/>
          <w:insideV w:val="single" w:color="auto" w:sz="4"/>
        </w:tblBorders>
      </w:tblPr>
      <w:tblGrid>
        <w:gridCol w:w="100"/>
      </w:tblGrid>
      <w:tr>
        <w:tc>
          <w:tcPr>
            <w:shd w:fill="ECFDF5" w:val="clear"/>
            <w:tcMar>
              <w:top w:type="dxa" w:w="140"/>
              <w:left w:type="dxa" w:w="200"/>
              <w:bottom w:type="dxa" w:w="140"/>
              <w:right w:type="dxa" w:w="200"/>
            </w:tcMar>
          </w:tcPr>
          <w:p>
            <w:r>
              <w:rPr>
                <w:b/>
                <w:bCs/>
                <w:color w:val="065F46"/>
                <w:sz w:val="22"/>
                <w:szCs w:val="22"/>
              </w:rPr>
              <w:t xml:space="preserve">FORMAL RECOMMENDATION</w:t>
            </w:r>
          </w:p>
          <w:p>
            <w:pPr>
              <w:spacing w:before="60"/>
            </w:pPr>
            <w:r>
              <w:rPr>
                <w:color w:val="1E293B"/>
                <w:sz w:val="20"/>
                <w:szCs w:val="20"/>
              </w:rPr>
              <w:t xml:space="preserve">It is respectfully submitted that the Office of the Principal officially endorse and mandate the platform for all forthcoming admission cycles, practical award submissions, and circular broadcasts. This will cement GHSS Shangus’s reputation as a pioneer in digital excellence.</w:t>
            </w:r>
          </w:p>
        </w:tc>
      </w:tr>
    </w:tbl>
    <w:sectPr>
      <w:headerReference w:type="default" r:id="rId6"/>
      <w:footerReference w:type="default" r:id="rId7"/>
      <w:pgSz w:w="11906" w:h="16838" w:orient="portrait"/>
      <w:pgMar w:top="1200" w:right="14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94A3B8"/>
        <w:sz w:val="16"/>
        <w:szCs w:val="16"/>
      </w:rPr>
      <w:t xml:space="preserve">Confidential • For the Office of the Principal only</w:t>
    </w:r>
    <w:r>
      <w:rPr>
        <w:color w:val="94A3B8"/>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64748B"/>
        <w:sz w:val="16"/>
        <w:szCs w:val="16"/>
      </w:rPr>
      <w:t xml:space="preserve">GOVT. HIGHER SECONDARY SCHOOL SHANGUS • DIGITAL PLATFORM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E293B"/>
        <w:sz w:val="21"/>
        <w:szCs w:val="21"/>
        <w:rFonts w:ascii="Arial" w:cs="Arial" w:eastAsia="Arial" w:hAnsi="Arial"/>
      </w:rPr>
    </w:rPrDefault>
    <w:pPrDefault>
      <w:pPr>
        <w:spacing w:line="276"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Executive Institutional Brief: GHSS Shangus Digital Platform</dc:title>
  <dc:creator>Technical Architecture &amp; Development Team</dc:creator>
  <dc:description>A comprehensive briefing for the Principal on features, UI, speed, security, and the modern technology stack.</dc:description>
  <cp:lastModifiedBy>Un-named</cp:lastModifiedBy>
  <cp:revision>1</cp:revision>
  <dcterms:created xsi:type="dcterms:W3CDTF">2026-09-18T11:09:39.369Z</dcterms:created>
  <dcterms:modified xsi:type="dcterms:W3CDTF">2026-09-18T11:09:39.370Z</dcterms:modified>
</cp:coreProperties>
</file>

<file path=docProps/custom.xml><?xml version="1.0" encoding="utf-8"?>
<Properties xmlns="http://schemas.openxmlformats.org/officeDocument/2006/custom-properties" xmlns:vt="http://schemas.openxmlformats.org/officeDocument/2006/docPropsVTypes"/>
</file>