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 w:after="20"/>
        <w:jc w:val="center"/>
      </w:pPr>
      <w:r>
        <w:rPr>
          <w:b/>
          <w:bCs/>
          <w:color w:val="0F3460"/>
          <w:sz w:val="22"/>
          <w:szCs w:val="22"/>
        </w:rPr>
        <w:t xml:space="preserve">GOVERNMENT HIGHER SECONDARY SCHOOL SHANGUS</w:t>
      </w:r>
    </w:p>
    <w:p>
      <w:pPr>
        <w:spacing w:after="60"/>
        <w:jc w:val="center"/>
      </w:pPr>
      <w:r>
        <w:rPr>
          <w:b/>
          <w:bCs/>
          <w:color w:val="475569"/>
          <w:sz w:val="15"/>
          <w:szCs w:val="15"/>
        </w:rPr>
        <w:t xml:space="preserve">Department of School Education, UT of Jammu &amp; Kashmir • Established 1917</w:t>
      </w:r>
    </w:p>
    <w:p>
      <w:pPr>
        <w:spacing w:after="100"/>
        <w:jc w:val="center"/>
      </w:pPr>
      <w:r>
        <w:rPr>
          <w:b/>
          <w:bCs/>
          <w:color w:val="047857"/>
          <w:sz w:val="18"/>
          <w:szCs w:val="18"/>
        </w:rPr>
        <w:t xml:space="preserve">EXECUTIVE INSTITUTIONAL DOSSIER FOR THE RESPECTED PRINCIPAL</w:t>
      </w:r>
    </w:p>
    <w:tbl>
      <w:tblPr>
        <w:tblW w:type="pct" w:w="100%"/>
        <w:tblBorders>
          <w:top w:val="none"/>
          <w:left w:val="single" w:color="047857" w:sz="20"/>
          <w:bottom w:val="none"/>
          <w:right w:val="none"/>
          <w:insideH w:val="single" w:color="auto" w:sz="4"/>
          <w:insideV w:val="single" w:color="auto" w:sz="4"/>
        </w:tblBorders>
      </w:tblPr>
      <w:tblGrid>
        <w:gridCol w:w="100"/>
      </w:tblGrid>
      <w:tr>
        <w:tc>
          <w:tcPr>
            <w:shd w:fill="ECFDF5" w:val="clear"/>
            <w:tcMar>
              <w:top w:type="dxa" w:w="70"/>
              <w:left w:type="dxa" w:w="110"/>
              <w:bottom w:type="dxa" w:w="70"/>
              <w:right w:type="dxa" w:w="110"/>
            </w:tcMar>
          </w:tcPr>
          <w:p>
            <w:r>
              <w:rPr>
                <w:b/>
                <w:bCs/>
                <w:color w:val="065F46"/>
                <w:sz w:val="18"/>
                <w:szCs w:val="18"/>
              </w:rPr>
              <w:t xml:space="preserve">EXECUTIVE SUMMARY &amp; INSTITUTIONAL PURPOSE</w:t>
            </w:r>
          </w:p>
          <w:p>
            <w:pPr>
              <w:spacing w:before="20"/>
            </w:pPr>
            <w:r>
              <w:rPr>
                <w:color w:val="1E293B"/>
                <w:sz w:val="16"/>
                <w:szCs w:val="16"/>
              </w:rPr>
              <w:t xml:space="preserve">This briefing presents the unified four-tier digital ecosystem of Govt. Higher Secondary School Shangus in an executive, tabulated format. Seamlessly integrating a Public Online Scorecard Verification Engine, Student Self-Service Portal, Faculty Academic Evaluation Suite, and a 20-Module Administrative Command Center backed by over two decades of digitized historical student ledgers (2006–2026), this platform delivers total institutional sovereignty, zero operational friction, and premier technological prestige to GHSS Shangus.</w:t>
            </w:r>
          </w:p>
        </w:tc>
      </w:tr>
    </w:tbl>
    <w:p>
      <w:pPr>
        <w:spacing w:before="70"/>
      </w:pPr>
    </w:p>
    <w:tbl>
      <w:tblPr>
        <w:tblW w:type="pct" w:w="100%"/>
        <w:tblBorders>
          <w:top w:val="none"/>
          <w:left w:val="single" w:color="D97706" w:sz="20"/>
          <w:bottom w:val="none"/>
          <w:right w:val="none"/>
          <w:insideH w:val="single" w:color="auto" w:sz="4"/>
          <w:insideV w:val="single" w:color="auto" w:sz="4"/>
        </w:tblBorders>
      </w:tblPr>
      <w:tblGrid>
        <w:gridCol w:w="100"/>
      </w:tblGrid>
      <w:tr>
        <w:tc>
          <w:tcPr>
            <w:shd w:fill="FFFBEB" w:val="clear"/>
            <w:tcMar>
              <w:top w:type="dxa" w:w="70"/>
              <w:left w:type="dxa" w:w="110"/>
              <w:bottom w:type="dxa" w:w="70"/>
              <w:right w:type="dxa" w:w="110"/>
            </w:tcMar>
          </w:tcPr>
          <w:p>
            <w:r>
              <w:rPr>
                <w:b/>
                <w:bCs/>
                <w:color w:val="92400E"/>
                <w:sz w:val="18"/>
                <w:szCs w:val="18"/>
              </w:rPr>
              <w:t xml:space="preserve">★ HISTORIC MILESTONE: 20+ YEARS OF ADMISSION LEDGERS DIGITIZED (2006–2026)</w:t>
            </w:r>
          </w:p>
          <w:p>
            <w:pPr>
              <w:spacing w:before="20"/>
            </w:pPr>
            <w:r>
              <w:rPr>
                <w:color w:val="1E293B"/>
                <w:sz w:val="16"/>
                <w:szCs w:val="16"/>
              </w:rPr>
              <w:t xml:space="preserve">The complete official Admission Register for Classes 11th and 12th has been painstakingly digitized back to 2006. Over two decades of student admissions, parentage, registration numbers, streams, admission dates, and matriculation passout data are now indexed in an instant cloud database, permanently eliminating paper degradation and allowing past records to be located in under 2 seconds.</w:t>
            </w:r>
          </w:p>
        </w:tc>
      </w:tr>
    </w:tbl>
    <w:p>
      <w:pPr>
        <w:spacing w:before="90"/>
      </w:pPr>
    </w:p>
    <w:p>
      <w:pPr>
        <w:pStyle w:val="Heading1"/>
        <w:spacing w:before="140" w:after="50"/>
      </w:pPr>
      <w:r>
        <w:t xml:space="preserve">1. Four-Tier Institutional Architecture Matrix</w:t>
      </w:r>
    </w:p>
    <w:tbl>
      <w:tblPr>
        <w:tblW w:type="pct" w:w="100%"/>
        <w:tblBorders>
          <w:top w:val="single" w:color="CBD5E1" w:sz="6"/>
          <w:left w:val="single" w:color="E2E8F0" w:sz="4"/>
          <w:bottom w:val="single" w:color="CBD5E1" w:sz="6"/>
          <w:right w:val="single" w:color="E2E8F0" w:sz="4"/>
          <w:insideH w:val="single" w:color="E2E8F0" w:sz="4"/>
          <w:insideV w:val="single" w:color="E2E8F0" w:sz="4"/>
        </w:tblBorders>
      </w:tblPr>
      <w:tblGrid>
        <w:gridCol w:w="100"/>
        <w:gridCol w:w="100"/>
        <w:gridCol w:w="100"/>
        <w:gridCol w:w="100"/>
      </w:tblGrid>
      <w:tr>
        <w:trPr>
          <w:tblHeader/>
        </w:trPr>
        <w:tc>
          <w:tcPr>
            <w:tcW w:type="pct" w:w="20%"/>
            <w:shd w:fill="0F3460" w:val="clear"/>
            <w:tcMar>
              <w:top w:type="dxa" w:w="50"/>
              <w:left w:type="dxa" w:w="70"/>
              <w:bottom w:type="dxa" w:w="50"/>
              <w:right w:type="dxa" w:w="70"/>
            </w:tcMar>
          </w:tcPr>
          <w:p>
            <w:r>
              <w:rPr>
                <w:b/>
                <w:bCs/>
                <w:color w:val="FFFFFF"/>
                <w:sz w:val="15"/>
                <w:szCs w:val="15"/>
              </w:rPr>
              <w:t xml:space="preserve">Portal / Tier</w:t>
            </w:r>
          </w:p>
        </w:tc>
        <w:tc>
          <w:tcPr>
            <w:tcW w:type="pct" w:w="20%"/>
            <w:shd w:fill="0F3460" w:val="clear"/>
            <w:tcMar>
              <w:top w:type="dxa" w:w="50"/>
              <w:left w:type="dxa" w:w="70"/>
              <w:bottom w:type="dxa" w:w="50"/>
              <w:right w:type="dxa" w:w="70"/>
            </w:tcMar>
          </w:tcPr>
          <w:p>
            <w:r>
              <w:rPr>
                <w:b/>
                <w:bCs/>
                <w:color w:val="FFFFFF"/>
                <w:sz w:val="15"/>
                <w:szCs w:val="15"/>
              </w:rPr>
              <w:t xml:space="preserve">Target User Cohort</w:t>
            </w:r>
          </w:p>
        </w:tc>
        <w:tc>
          <w:tcPr>
            <w:tcW w:type="pct" w:w="38%"/>
            <w:shd w:fill="0F3460" w:val="clear"/>
            <w:tcMar>
              <w:top w:type="dxa" w:w="50"/>
              <w:left w:type="dxa" w:w="70"/>
              <w:bottom w:type="dxa" w:w="50"/>
              <w:right w:type="dxa" w:w="70"/>
            </w:tcMar>
          </w:tcPr>
          <w:p>
            <w:r>
              <w:rPr>
                <w:b/>
                <w:bCs/>
                <w:color w:val="FFFFFF"/>
                <w:sz w:val="15"/>
                <w:szCs w:val="15"/>
              </w:rPr>
              <w:t xml:space="preserve">Core Capabilities &amp; Deliverables</w:t>
            </w:r>
          </w:p>
        </w:tc>
        <w:tc>
          <w:tcPr>
            <w:tcW w:type="pct" w:w="22%"/>
            <w:shd w:fill="0F3460" w:val="clear"/>
            <w:tcMar>
              <w:top w:type="dxa" w:w="50"/>
              <w:left w:type="dxa" w:w="70"/>
              <w:bottom w:type="dxa" w:w="50"/>
              <w:right w:type="dxa" w:w="70"/>
            </w:tcMar>
          </w:tcPr>
          <w:p>
            <w:r>
              <w:rPr>
                <w:b/>
                <w:bCs/>
                <w:color w:val="FFFFFF"/>
                <w:sz w:val="15"/>
                <w:szCs w:val="15"/>
              </w:rPr>
              <w:t xml:space="preserve">Security &amp; Technical Architecture</w:t>
            </w:r>
          </w:p>
        </w:tc>
      </w:tr>
      <w:tr>
        <w:tc>
          <w:tcPr>
            <w:tcW w:type="pct" w:w="20%"/>
            <w:shd w:fill="FFFFFF" w:val="clear"/>
            <w:tcMar>
              <w:top w:type="dxa" w:w="40"/>
              <w:left w:type="dxa" w:w="60"/>
              <w:bottom w:type="dxa" w:w="40"/>
              <w:right w:type="dxa" w:w="60"/>
            </w:tcMar>
          </w:tcPr>
          <w:p>
            <w:r>
              <w:rPr>
                <w:b/>
                <w:bCs/>
                <w:color w:val="0F3460"/>
              </w:rPr>
              <w:t xml:space="preserve">🌐 Public Verification Engine</w:t>
            </w:r>
          </w:p>
        </w:tc>
        <w:tc>
          <w:tcPr>
            <w:tcW w:type="pct" w:w="20%"/>
            <w:shd w:fill="FFFFFF" w:val="clear"/>
            <w:tcMar>
              <w:top w:type="dxa" w:w="40"/>
              <w:left w:type="dxa" w:w="60"/>
              <w:bottom w:type="dxa" w:w="40"/>
              <w:right w:type="dxa" w:w="60"/>
            </w:tcMar>
          </w:tcPr>
          <w:p>
            <w:r>
              <w:rPr>
                <w:color w:val="1E293B"/>
                <w:sz w:val="14"/>
                <w:szCs w:val="14"/>
              </w:rPr>
              <w:t xml:space="preserve">Students, Parents, Employers &amp; Universities</w:t>
            </w:r>
          </w:p>
        </w:tc>
        <w:tc>
          <w:tcPr>
            <w:tcW w:type="pct" w:w="38%"/>
            <w:shd w:fill="FFFFFF" w:val="clear"/>
            <w:tcMar>
              <w:top w:type="dxa" w:w="40"/>
              <w:left w:type="dxa" w:w="60"/>
              <w:bottom w:type="dxa" w:w="40"/>
              <w:right w:type="dxa" w:w="60"/>
            </w:tcMar>
          </w:tcPr>
          <w:p>
            <w:r>
              <w:rPr>
                <w:color w:val="1E293B"/>
                <w:sz w:val="14"/>
                <w:szCs w:val="14"/>
              </w:rPr>
              <w:t xml:space="preserve">Instant Roll No / Reg ID result search; tamper-evident digital scorecards with school crest &amp; watermark; canonical subject resolution (General English [GE]); permanent sticky navigation header.</w:t>
            </w:r>
          </w:p>
        </w:tc>
        <w:tc>
          <w:tcPr>
            <w:tcW w:type="pct" w:w="22%"/>
            <w:shd w:fill="FFFFFF" w:val="clear"/>
            <w:tcMar>
              <w:top w:type="dxa" w:w="40"/>
              <w:left w:type="dxa" w:w="60"/>
              <w:bottom w:type="dxa" w:w="40"/>
              <w:right w:type="dxa" w:w="60"/>
            </w:tcMar>
          </w:tcPr>
          <w:p>
            <w:r>
              <w:rPr>
                <w:color w:val="1E293B"/>
                <w:sz w:val="14"/>
                <w:szCs w:val="14"/>
              </w:rPr>
              <w:t xml:space="preserve">Cryptographic hash verification; high-speed CDN caching; 0ms main thread delay.</w:t>
            </w:r>
          </w:p>
        </w:tc>
      </w:tr>
      <w:tr>
        <w:tc>
          <w:tcPr>
            <w:tcW w:type="pct" w:w="20%"/>
            <w:shd w:fill="F8FAFC" w:val="clear"/>
            <w:tcMar>
              <w:top w:type="dxa" w:w="40"/>
              <w:left w:type="dxa" w:w="60"/>
              <w:bottom w:type="dxa" w:w="40"/>
              <w:right w:type="dxa" w:w="60"/>
            </w:tcMar>
          </w:tcPr>
          <w:p>
            <w:r>
              <w:rPr>
                <w:b/>
                <w:bCs/>
                <w:color w:val="0284C7"/>
              </w:rPr>
              <w:t xml:space="preserve">🎓 Student Self-Service Portal</w:t>
            </w:r>
          </w:p>
        </w:tc>
        <w:tc>
          <w:tcPr>
            <w:tcW w:type="pct" w:w="20%"/>
            <w:shd w:fill="F8FAFC" w:val="clear"/>
            <w:tcMar>
              <w:top w:type="dxa" w:w="40"/>
              <w:left w:type="dxa" w:w="60"/>
              <w:bottom w:type="dxa" w:w="40"/>
              <w:right w:type="dxa" w:w="60"/>
            </w:tcMar>
          </w:tcPr>
          <w:p>
            <w:r>
              <w:rPr>
                <w:color w:val="1E293B"/>
                <w:sz w:val="14"/>
                <w:szCs w:val="14"/>
              </w:rPr>
              <w:t xml:space="preserve">Prospective &amp; Enrolled Students (Classes 9th–12th)</w:t>
            </w:r>
          </w:p>
        </w:tc>
        <w:tc>
          <w:tcPr>
            <w:tcW w:type="pct" w:w="38%"/>
            <w:shd w:fill="F8FAFC" w:val="clear"/>
            <w:tcMar>
              <w:top w:type="dxa" w:w="40"/>
              <w:left w:type="dxa" w:w="60"/>
              <w:bottom w:type="dxa" w:w="40"/>
              <w:right w:type="dxa" w:w="60"/>
            </w:tcMar>
          </w:tcPr>
          <w:p>
            <w:r>
              <w:rPr>
                <w:color w:val="1E293B"/>
                <w:sz w:val="14"/>
                <w:szCs w:val="14"/>
              </w:rPr>
              <w:t xml:space="preserve">Multi-class online admission gateway with stream rule validation; real-time lifecycle tracking (Submitted, Verified, Approved, Provisional, Full); digital document locker; 1-click PDF passes &amp; fee receipts.</w:t>
            </w:r>
          </w:p>
        </w:tc>
        <w:tc>
          <w:tcPr>
            <w:tcW w:type="pct" w:w="22%"/>
            <w:shd w:fill="F8FAFC" w:val="clear"/>
            <w:tcMar>
              <w:top w:type="dxa" w:w="40"/>
              <w:left w:type="dxa" w:w="60"/>
              <w:bottom w:type="dxa" w:w="40"/>
              <w:right w:type="dxa" w:w="60"/>
            </w:tcMar>
          </w:tcPr>
          <w:p>
            <w:r>
              <w:rPr>
                <w:color w:val="1E293B"/>
                <w:sz w:val="14"/>
                <w:szCs w:val="14"/>
              </w:rPr>
              <w:t xml:space="preserve">Instant SWR cache (&lt;50ms reload); client-side image compression; QR-signed admission receipts.</w:t>
            </w:r>
          </w:p>
        </w:tc>
      </w:tr>
      <w:tr>
        <w:tc>
          <w:tcPr>
            <w:tcW w:type="pct" w:w="20%"/>
            <w:shd w:fill="FFFFFF" w:val="clear"/>
            <w:tcMar>
              <w:top w:type="dxa" w:w="40"/>
              <w:left w:type="dxa" w:w="60"/>
              <w:bottom w:type="dxa" w:w="40"/>
              <w:right w:type="dxa" w:w="60"/>
            </w:tcMar>
          </w:tcPr>
          <w:p>
            <w:r>
              <w:rPr>
                <w:b/>
                <w:bCs/>
                <w:color w:val="047857"/>
              </w:rPr>
              <w:t xml:space="preserve">👨‍🏫 Faculty Academic Suite</w:t>
            </w:r>
          </w:p>
        </w:tc>
        <w:tc>
          <w:tcPr>
            <w:tcW w:type="pct" w:w="20%"/>
            <w:shd w:fill="FFFFFF" w:val="clear"/>
            <w:tcMar>
              <w:top w:type="dxa" w:w="40"/>
              <w:left w:type="dxa" w:w="60"/>
              <w:bottom w:type="dxa" w:w="40"/>
              <w:right w:type="dxa" w:w="60"/>
            </w:tcMar>
          </w:tcPr>
          <w:p>
            <w:r>
              <w:rPr>
                <w:color w:val="1E293B"/>
                <w:sz w:val="14"/>
                <w:szCs w:val="14"/>
              </w:rPr>
              <w:t xml:space="preserve">Subject Teachers &amp; Practical Evaluators (11th &amp; 12th)</w:t>
            </w:r>
          </w:p>
        </w:tc>
        <w:tc>
          <w:tcPr>
            <w:tcW w:type="pct" w:w="38%"/>
            <w:shd w:fill="FFFFFF" w:val="clear"/>
            <w:tcMar>
              <w:top w:type="dxa" w:w="40"/>
              <w:left w:type="dxa" w:w="60"/>
              <w:bottom w:type="dxa" w:w="40"/>
              <w:right w:type="dxa" w:w="60"/>
            </w:tcMar>
          </w:tcPr>
          <w:p>
            <w:r>
              <w:rPr>
                <w:color w:val="1E293B"/>
                <w:sz w:val="14"/>
                <w:szCs w:val="14"/>
              </w:rPr>
              <w:t xml:space="preserve">Role-gated subject/class workspace; internal marks engine with max-score ceiling validation; autosave &amp; draft protection; dual-format Word (.docx) &amp; PDF award rolls; daily attendance with 75% shortage alert.</w:t>
            </w:r>
          </w:p>
        </w:tc>
        <w:tc>
          <w:tcPr>
            <w:tcW w:type="pct" w:w="22%"/>
            <w:shd w:fill="FFFFFF" w:val="clear"/>
            <w:tcMar>
              <w:top w:type="dxa" w:w="40"/>
              <w:left w:type="dxa" w:w="60"/>
              <w:bottom w:type="dxa" w:w="40"/>
              <w:right w:type="dxa" w:w="60"/>
            </w:tcMar>
          </w:tcPr>
          <w:p>
            <w:r>
              <w:rPr>
                <w:color w:val="1E293B"/>
                <w:sz w:val="14"/>
                <w:szCs w:val="14"/>
              </w:rPr>
              <w:t xml:space="preserve">Submitter privacy isolation (teachers only see own submissions); direct 1-click Print/PDF.</w:t>
            </w:r>
          </w:p>
        </w:tc>
      </w:tr>
      <w:tr>
        <w:tc>
          <w:tcPr>
            <w:tcW w:type="pct" w:w="20%"/>
            <w:shd w:fill="F8FAFC" w:val="clear"/>
            <w:tcMar>
              <w:top w:type="dxa" w:w="40"/>
              <w:left w:type="dxa" w:w="60"/>
              <w:bottom w:type="dxa" w:w="40"/>
              <w:right w:type="dxa" w:w="60"/>
            </w:tcMar>
          </w:tcPr>
          <w:p>
            <w:r>
              <w:rPr>
                <w:b/>
                <w:bCs/>
                <w:color w:val="4338CA"/>
              </w:rPr>
              <w:t xml:space="preserve">🏛️ Administrative Command Hub</w:t>
            </w:r>
          </w:p>
        </w:tc>
        <w:tc>
          <w:tcPr>
            <w:tcW w:type="pct" w:w="20%"/>
            <w:shd w:fill="F8FAFC" w:val="clear"/>
            <w:tcMar>
              <w:top w:type="dxa" w:w="40"/>
              <w:left w:type="dxa" w:w="60"/>
              <w:bottom w:type="dxa" w:w="40"/>
              <w:right w:type="dxa" w:w="60"/>
            </w:tcMar>
          </w:tcPr>
          <w:p>
            <w:r>
              <w:rPr>
                <w:color w:val="1E293B"/>
                <w:sz w:val="14"/>
                <w:szCs w:val="14"/>
              </w:rPr>
              <w:t xml:space="preserve">Principal, Examination Incharge &amp; Clerical Staff</w:t>
            </w:r>
          </w:p>
        </w:tc>
        <w:tc>
          <w:tcPr>
            <w:tcW w:type="pct" w:w="38%"/>
            <w:shd w:fill="F8FAFC" w:val="clear"/>
            <w:tcMar>
              <w:top w:type="dxa" w:w="40"/>
              <w:left w:type="dxa" w:w="60"/>
              <w:bottom w:type="dxa" w:w="40"/>
              <w:right w:type="dxa" w:w="60"/>
            </w:tcMar>
          </w:tcPr>
          <w:p>
            <w:r>
              <w:rPr>
                <w:color w:val="1E293B"/>
                <w:sz w:val="14"/>
                <w:szCs w:val="14"/>
              </w:rPr>
              <w:t xml:space="preserve">20 specialized modules across 4 divisions; 20-year admission register digitization (2006–2026); consolidated master gazette with custom checkbox selection; DSU deduplication; multi-session Excel backups.</w:t>
            </w:r>
          </w:p>
        </w:tc>
        <w:tc>
          <w:tcPr>
            <w:tcW w:type="pct" w:w="22%"/>
            <w:shd w:fill="F8FAFC" w:val="clear"/>
            <w:tcMar>
              <w:top w:type="dxa" w:w="40"/>
              <w:left w:type="dxa" w:w="60"/>
              <w:bottom w:type="dxa" w:w="40"/>
              <w:right w:type="dxa" w:w="60"/>
            </w:tcMar>
          </w:tcPr>
          <w:p>
            <w:r>
              <w:rPr>
                <w:color w:val="1E293B"/>
                <w:sz w:val="14"/>
                <w:szCs w:val="14"/>
              </w:rPr>
              <w:t xml:space="preserve">19-module granular RBAC (Accounts Clerk preset); zero-trust Firestore rules; 90-day Recycle Bin.</w:t>
            </w:r>
          </w:p>
        </w:tc>
      </w:tr>
    </w:tbl>
    <w:p>
      <w:pPr>
        <w:spacing w:before="100"/>
      </w:pPr>
    </w:p>
    <w:p>
      <w:pPr>
        <w:pStyle w:val="Heading1"/>
        <w:spacing w:before="140" w:after="50"/>
      </w:pPr>
      <w:r>
        <w:t xml:space="preserve">2. Landmark Digitization &amp; Assessment Hub Matrix</w:t>
      </w:r>
    </w:p>
    <w:tbl>
      <w:tblPr>
        <w:tblW w:type="pct" w:w="100%"/>
        <w:tblBorders>
          <w:top w:val="single" w:color="CBD5E1" w:sz="6"/>
          <w:left w:val="single" w:color="E2E8F0" w:sz="4"/>
          <w:bottom w:val="single" w:color="CBD5E1" w:sz="6"/>
          <w:right w:val="single" w:color="E2E8F0" w:sz="4"/>
          <w:insideH w:val="single" w:color="E2E8F0" w:sz="4"/>
          <w:insideV w:val="single" w:color="E2E8F0" w:sz="4"/>
        </w:tblBorders>
      </w:tblPr>
      <w:tblGrid>
        <w:gridCol w:w="100"/>
        <w:gridCol w:w="100"/>
        <w:gridCol w:w="100"/>
        <w:gridCol w:w="100"/>
      </w:tblGrid>
      <w:tr>
        <w:trPr>
          <w:tblHeader/>
        </w:trPr>
        <w:tc>
          <w:tcPr>
            <w:tcW w:type="pct" w:w="24%"/>
            <w:shd w:fill="0F3460" w:val="clear"/>
            <w:tcMar>
              <w:top w:type="dxa" w:w="50"/>
              <w:left w:type="dxa" w:w="70"/>
              <w:bottom w:type="dxa" w:w="50"/>
              <w:right w:type="dxa" w:w="70"/>
            </w:tcMar>
          </w:tcPr>
          <w:p>
            <w:r>
              <w:rPr>
                <w:b/>
                <w:bCs/>
                <w:color w:val="FFFFFF"/>
                <w:sz w:val="15"/>
                <w:szCs w:val="15"/>
              </w:rPr>
              <w:t xml:space="preserve">Strategic Initiative</w:t>
            </w:r>
          </w:p>
        </w:tc>
        <w:tc>
          <w:tcPr>
            <w:tcW w:type="pct" w:w="20%"/>
            <w:shd w:fill="0F3460" w:val="clear"/>
            <w:tcMar>
              <w:top w:type="dxa" w:w="50"/>
              <w:left w:type="dxa" w:w="70"/>
              <w:bottom w:type="dxa" w:w="50"/>
              <w:right w:type="dxa" w:w="70"/>
            </w:tcMar>
          </w:tcPr>
          <w:p>
            <w:r>
              <w:rPr>
                <w:b/>
                <w:bCs/>
                <w:color w:val="FFFFFF"/>
                <w:sz w:val="15"/>
                <w:szCs w:val="15"/>
              </w:rPr>
              <w:t xml:space="preserve">Scope / Coverage</w:t>
            </w:r>
          </w:p>
        </w:tc>
        <w:tc>
          <w:tcPr>
            <w:tcW w:type="pct" w:w="36%"/>
            <w:shd w:fill="0F3460" w:val="clear"/>
            <w:tcMar>
              <w:top w:type="dxa" w:w="50"/>
              <w:left w:type="dxa" w:w="70"/>
              <w:bottom w:type="dxa" w:w="50"/>
              <w:right w:type="dxa" w:w="70"/>
            </w:tcMar>
          </w:tcPr>
          <w:p>
            <w:r>
              <w:rPr>
                <w:b/>
                <w:bCs/>
                <w:color w:val="FFFFFF"/>
                <w:sz w:val="15"/>
                <w:szCs w:val="15"/>
              </w:rPr>
              <w:t xml:space="preserve">Key Capabilities &amp; Workflow Innovations</w:t>
            </w:r>
          </w:p>
        </w:tc>
        <w:tc>
          <w:tcPr>
            <w:tcW w:type="pct" w:w="20%"/>
            <w:shd w:fill="0F3460" w:val="clear"/>
            <w:tcMar>
              <w:top w:type="dxa" w:w="50"/>
              <w:left w:type="dxa" w:w="70"/>
              <w:bottom w:type="dxa" w:w="50"/>
              <w:right w:type="dxa" w:w="70"/>
            </w:tcMar>
          </w:tcPr>
          <w:p>
            <w:r>
              <w:rPr>
                <w:b/>
                <w:bCs/>
                <w:color w:val="FFFFFF"/>
                <w:sz w:val="15"/>
                <w:szCs w:val="15"/>
              </w:rPr>
              <w:t xml:space="preserve">Institutional Impact &amp; Value</w:t>
            </w:r>
          </w:p>
        </w:tc>
      </w:tr>
      <w:tr>
        <w:tc>
          <w:tcPr>
            <w:tcW w:type="pct" w:w="24%"/>
            <w:shd w:fill="FFFFFF" w:val="clear"/>
            <w:tcMar>
              <w:top w:type="dxa" w:w="40"/>
              <w:left w:type="dxa" w:w="60"/>
              <w:bottom w:type="dxa" w:w="40"/>
              <w:right w:type="dxa" w:w="60"/>
            </w:tcMar>
          </w:tcPr>
          <w:p>
            <w:r>
              <w:rPr>
                <w:b/>
                <w:bCs/>
                <w:color w:val="D97706"/>
              </w:rPr>
              <w:t xml:space="preserve">20-Year Admission Register Digitization</w:t>
            </w:r>
          </w:p>
        </w:tc>
        <w:tc>
          <w:tcPr>
            <w:tcW w:type="pct" w:w="20%"/>
            <w:shd w:fill="FFFFFF" w:val="clear"/>
            <w:tcMar>
              <w:top w:type="dxa" w:w="40"/>
              <w:left w:type="dxa" w:w="60"/>
              <w:bottom w:type="dxa" w:w="40"/>
              <w:right w:type="dxa" w:w="60"/>
            </w:tcMar>
          </w:tcPr>
          <w:p>
            <w:r>
              <w:rPr>
                <w:color w:val="1E293B"/>
                <w:sz w:val="14"/>
                <w:szCs w:val="14"/>
              </w:rPr>
              <w:t xml:space="preserve">Classes 11th &amp; 12th (2006–2026)</w:t>
            </w:r>
          </w:p>
        </w:tc>
        <w:tc>
          <w:tcPr>
            <w:tcW w:type="pct" w:w="36%"/>
            <w:shd w:fill="FFFFFF" w:val="clear"/>
            <w:tcMar>
              <w:top w:type="dxa" w:w="40"/>
              <w:left w:type="dxa" w:w="60"/>
              <w:bottom w:type="dxa" w:w="40"/>
              <w:right w:type="dxa" w:w="60"/>
            </w:tcMar>
          </w:tcPr>
          <w:p>
            <w:r>
              <w:rPr>
                <w:color w:val="1E293B"/>
                <w:sz w:val="14"/>
                <w:szCs w:val="14"/>
              </w:rPr>
              <w:t xml:space="preserve">Complete admission ledger, matriculation passouts, parentage, registration numbers, enrollment dates, and stream histories indexed in the cloud.</w:t>
            </w:r>
          </w:p>
        </w:tc>
        <w:tc>
          <w:tcPr>
            <w:tcW w:type="pct" w:w="20%"/>
            <w:shd w:fill="FFFFFF" w:val="clear"/>
            <w:tcMar>
              <w:top w:type="dxa" w:w="40"/>
              <w:left w:type="dxa" w:w="60"/>
              <w:bottom w:type="dxa" w:w="40"/>
              <w:right w:type="dxa" w:w="60"/>
            </w:tcMar>
          </w:tcPr>
          <w:p>
            <w:r>
              <w:rPr>
                <w:color w:val="1E293B"/>
                <w:sz w:val="14"/>
                <w:szCs w:val="14"/>
              </w:rPr>
              <w:t xml:space="preserve">Permanently eliminates paper ledger loss/wear; instant record search in &lt;2 seconds.</w:t>
            </w:r>
          </w:p>
        </w:tc>
      </w:tr>
      <w:tr>
        <w:tc>
          <w:tcPr>
            <w:tcW w:type="pct" w:w="24%"/>
            <w:shd w:fill="F8FAFC" w:val="clear"/>
            <w:tcMar>
              <w:top w:type="dxa" w:w="40"/>
              <w:left w:type="dxa" w:w="60"/>
              <w:bottom w:type="dxa" w:w="40"/>
              <w:right w:type="dxa" w:w="60"/>
            </w:tcMar>
          </w:tcPr>
          <w:p>
            <w:r>
              <w:rPr>
                <w:b/>
                <w:bCs/>
                <w:color w:val="0F3460"/>
              </w:rPr>
              <w:t xml:space="preserve">Master Assessment Gazette (Pre-Boards)</w:t>
            </w:r>
          </w:p>
        </w:tc>
        <w:tc>
          <w:tcPr>
            <w:tcW w:type="pct" w:w="20%"/>
            <w:shd w:fill="F8FAFC" w:val="clear"/>
            <w:tcMar>
              <w:top w:type="dxa" w:w="40"/>
              <w:left w:type="dxa" w:w="60"/>
              <w:bottom w:type="dxa" w:w="40"/>
              <w:right w:type="dxa" w:w="60"/>
            </w:tcMar>
          </w:tcPr>
          <w:p>
            <w:r>
              <w:rPr>
                <w:color w:val="1E293B"/>
                <w:sz w:val="14"/>
                <w:szCs w:val="14"/>
              </w:rPr>
              <w:t xml:space="preserve">Golden Test &amp; Pre-Board Exams (11th &amp; 12th)</w:t>
            </w:r>
          </w:p>
        </w:tc>
        <w:tc>
          <w:tcPr>
            <w:tcW w:type="pct" w:w="36%"/>
            <w:shd w:fill="F8FAFC" w:val="clear"/>
            <w:tcMar>
              <w:top w:type="dxa" w:w="40"/>
              <w:left w:type="dxa" w:w="60"/>
              <w:bottom w:type="dxa" w:w="40"/>
              <w:right w:type="dxa" w:w="60"/>
            </w:tcMar>
          </w:tcPr>
          <w:p>
            <w:r>
              <w:rPr>
                <w:color w:val="1E293B"/>
                <w:sz w:val="14"/>
                <w:szCs w:val="14"/>
              </w:rPr>
              <w:t xml:space="preserve">Multi-stream consolidation (Medical, Non-Med, Arts, Commerce); dynamic 50M scaling; priority latest evaluation resolution; interactive checkbox custom selection.</w:t>
            </w:r>
          </w:p>
        </w:tc>
        <w:tc>
          <w:tcPr>
            <w:tcW w:type="pct" w:w="20%"/>
            <w:shd w:fill="F8FAFC" w:val="clear"/>
            <w:tcMar>
              <w:top w:type="dxa" w:w="40"/>
              <w:left w:type="dxa" w:w="60"/>
              <w:bottom w:type="dxa" w:w="40"/>
              <w:right w:type="dxa" w:w="60"/>
            </w:tcMar>
          </w:tcPr>
          <w:p>
            <w:r>
              <w:rPr>
                <w:color w:val="1E293B"/>
                <w:sz w:val="14"/>
                <w:szCs w:val="14"/>
              </w:rPr>
              <w:t xml:space="preserve">Saves 40+ hours per exam session; custom cohort printing; tailored Excel/CSV exports.</w:t>
            </w:r>
          </w:p>
        </w:tc>
      </w:tr>
      <w:tr>
        <w:tc>
          <w:tcPr>
            <w:tcW w:type="pct" w:w="24%"/>
            <w:shd w:fill="FFFFFF" w:val="clear"/>
            <w:tcMar>
              <w:top w:type="dxa" w:w="40"/>
              <w:left w:type="dxa" w:w="60"/>
              <w:bottom w:type="dxa" w:w="40"/>
              <w:right w:type="dxa" w:w="60"/>
            </w:tcMar>
          </w:tcPr>
          <w:p>
            <w:r>
              <w:rPr>
                <w:b/>
                <w:bCs/>
                <w:color w:val="047857"/>
              </w:rPr>
              <w:t xml:space="preserve">Faculty Submitter Isolation &amp; Direct Print</w:t>
            </w:r>
          </w:p>
        </w:tc>
        <w:tc>
          <w:tcPr>
            <w:tcW w:type="pct" w:w="20%"/>
            <w:shd w:fill="FFFFFF" w:val="clear"/>
            <w:tcMar>
              <w:top w:type="dxa" w:w="40"/>
              <w:left w:type="dxa" w:w="60"/>
              <w:bottom w:type="dxa" w:w="40"/>
              <w:right w:type="dxa" w:w="60"/>
            </w:tcMar>
          </w:tcPr>
          <w:p>
            <w:r>
              <w:rPr>
                <w:color w:val="1E293B"/>
                <w:sz w:val="14"/>
                <w:szCs w:val="14"/>
              </w:rPr>
              <w:t xml:space="preserve">Internal Assessment &amp; Practicals (All Streams)</w:t>
            </w:r>
          </w:p>
        </w:tc>
        <w:tc>
          <w:tcPr>
            <w:tcW w:type="pct" w:w="36%"/>
            <w:shd w:fill="FFFFFF" w:val="clear"/>
            <w:tcMar>
              <w:top w:type="dxa" w:w="40"/>
              <w:left w:type="dxa" w:w="60"/>
              <w:bottom w:type="dxa" w:w="40"/>
              <w:right w:type="dxa" w:w="60"/>
            </w:tcMar>
          </w:tcPr>
          <w:p>
            <w:r>
              <w:rPr>
                <w:color w:val="1E293B"/>
                <w:sz w:val="14"/>
                <w:szCs w:val="14"/>
              </w:rPr>
              <w:t xml:space="preserve">Strict submitter privacy isolation restricts submission history to teacher's own evaluations; direct 1-click Print and formatted PDF downloads from history modal.</w:t>
            </w:r>
          </w:p>
        </w:tc>
        <w:tc>
          <w:tcPr>
            <w:tcW w:type="pct" w:w="20%"/>
            <w:shd w:fill="FFFFFF" w:val="clear"/>
            <w:tcMar>
              <w:top w:type="dxa" w:w="40"/>
              <w:left w:type="dxa" w:w="60"/>
              <w:bottom w:type="dxa" w:w="40"/>
              <w:right w:type="dxa" w:w="60"/>
            </w:tcMar>
          </w:tcPr>
          <w:p>
            <w:r>
              <w:rPr>
                <w:color w:val="1E293B"/>
                <w:sz w:val="14"/>
                <w:szCs w:val="14"/>
              </w:rPr>
              <w:t xml:space="preserve">100% staff privacy; zero cross-subject tampering; instant paper award rolls for examiners.</w:t>
            </w:r>
          </w:p>
        </w:tc>
      </w:tr>
      <w:tr>
        <w:tc>
          <w:tcPr>
            <w:tcW w:type="pct" w:w="24%"/>
            <w:shd w:fill="F8FAFC" w:val="clear"/>
            <w:tcMar>
              <w:top w:type="dxa" w:w="40"/>
              <w:left w:type="dxa" w:w="60"/>
              <w:bottom w:type="dxa" w:w="40"/>
              <w:right w:type="dxa" w:w="60"/>
            </w:tcMar>
          </w:tcPr>
          <w:p>
            <w:r>
              <w:rPr>
                <w:b/>
                <w:bCs/>
                <w:color w:val="4338CA"/>
              </w:rPr>
              <w:t xml:space="preserve">Canonical Subject Normalization</w:t>
            </w:r>
          </w:p>
        </w:tc>
        <w:tc>
          <w:tcPr>
            <w:tcW w:type="pct" w:w="20%"/>
            <w:shd w:fill="F8FAFC" w:val="clear"/>
            <w:tcMar>
              <w:top w:type="dxa" w:w="40"/>
              <w:left w:type="dxa" w:w="60"/>
              <w:bottom w:type="dxa" w:w="40"/>
              <w:right w:type="dxa" w:w="60"/>
            </w:tcMar>
          </w:tcPr>
          <w:p>
            <w:r>
              <w:rPr>
                <w:color w:val="1E293B"/>
                <w:sz w:val="14"/>
                <w:szCs w:val="14"/>
              </w:rPr>
              <w:t xml:space="preserve">All Classes, Scorecards &amp; Ledgers</w:t>
            </w:r>
          </w:p>
        </w:tc>
        <w:tc>
          <w:tcPr>
            <w:tcW w:type="pct" w:w="36%"/>
            <w:shd w:fill="F8FAFC" w:val="clear"/>
            <w:tcMar>
              <w:top w:type="dxa" w:w="40"/>
              <w:left w:type="dxa" w:w="60"/>
              <w:bottom w:type="dxa" w:w="40"/>
              <w:right w:type="dxa" w:w="60"/>
            </w:tcMar>
          </w:tcPr>
          <w:p>
            <w:r>
              <w:rPr>
                <w:color w:val="1E293B"/>
                <w:sz w:val="14"/>
                <w:szCs w:val="14"/>
              </w:rPr>
              <w:t xml:space="preserve">Automatic standardization of cryptic abbreviations (e.g. "GE" standardized to "General English [GE]") across scorecards, gazettes, and ledgers.</w:t>
            </w:r>
          </w:p>
        </w:tc>
        <w:tc>
          <w:tcPr>
            <w:tcW w:type="pct" w:w="20%"/>
            <w:shd w:fill="F8FAFC" w:val="clear"/>
            <w:tcMar>
              <w:top w:type="dxa" w:w="40"/>
              <w:left w:type="dxa" w:w="60"/>
              <w:bottom w:type="dxa" w:w="40"/>
              <w:right w:type="dxa" w:w="60"/>
            </w:tcMar>
          </w:tcPr>
          <w:p>
            <w:r>
              <w:rPr>
                <w:color w:val="1E293B"/>
                <w:sz w:val="14"/>
                <w:szCs w:val="14"/>
              </w:rPr>
              <w:t xml:space="preserve">Guarantees 100% board alignment; eliminates student, staff, and examiner ambiguity.</w:t>
            </w:r>
          </w:p>
        </w:tc>
      </w:tr>
    </w:tbl>
    <w:p>
      <w:pPr>
        <w:spacing w:before="100"/>
      </w:pPr>
    </w:p>
    <w:p>
      <w:pPr>
        <w:pStyle w:val="Heading1"/>
        <w:spacing w:before="140" w:after="50"/>
      </w:pPr>
      <w:r>
        <w:t xml:space="preserve">3. Classified Directory of 20 Administrative Command Modules</w:t>
      </w:r>
    </w:p>
    <w:tbl>
      <w:tblPr>
        <w:tblW w:type="pct" w:w="100%"/>
        <w:tblBorders>
          <w:top w:val="single" w:color="CBD5E1" w:sz="6"/>
          <w:left w:val="single" w:color="E2E8F0" w:sz="4"/>
          <w:bottom w:val="single" w:color="CBD5E1" w:sz="6"/>
          <w:right w:val="single" w:color="E2E8F0" w:sz="4"/>
          <w:insideH w:val="single" w:color="E2E8F0" w:sz="4"/>
          <w:insideV w:val="single" w:color="E2E8F0" w:sz="4"/>
        </w:tblBorders>
      </w:tblPr>
      <w:tblGrid>
        <w:gridCol w:w="100"/>
        <w:gridCol w:w="100"/>
        <w:gridCol w:w="100"/>
        <w:gridCol w:w="100"/>
      </w:tblGrid>
      <w:tr>
        <w:trPr>
          <w:tblHeader/>
        </w:trPr>
        <w:tc>
          <w:tcPr>
            <w:tcW w:type="pct" w:w="24%"/>
            <w:shd w:fill="0F3460" w:val="clear"/>
            <w:tcMar>
              <w:top w:type="dxa" w:w="50"/>
              <w:left w:type="dxa" w:w="70"/>
              <w:bottom w:type="dxa" w:w="50"/>
              <w:right w:type="dxa" w:w="70"/>
            </w:tcMar>
          </w:tcPr>
          <w:p>
            <w:r>
              <w:rPr>
                <w:b/>
                <w:bCs/>
                <w:color w:val="FFFFFF"/>
                <w:sz w:val="15"/>
                <w:szCs w:val="15"/>
              </w:rPr>
              <w:t xml:space="preserve">Div I &amp; II Modules (Records &amp; Academics)</w:t>
            </w:r>
          </w:p>
        </w:tc>
        <w:tc>
          <w:tcPr>
            <w:tcW w:type="pct" w:w="26%"/>
            <w:shd w:fill="0F3460" w:val="clear"/>
            <w:tcMar>
              <w:top w:type="dxa" w:w="50"/>
              <w:left w:type="dxa" w:w="70"/>
              <w:bottom w:type="dxa" w:w="50"/>
              <w:right w:type="dxa" w:w="70"/>
            </w:tcMar>
          </w:tcPr>
          <w:p>
            <w:r>
              <w:rPr>
                <w:b/>
                <w:bCs/>
                <w:color w:val="FFFFFF"/>
                <w:sz w:val="15"/>
                <w:szCs w:val="15"/>
              </w:rPr>
              <w:t xml:space="preserve">Core Workflow &amp; Deliverables</w:t>
            </w:r>
          </w:p>
        </w:tc>
        <w:tc>
          <w:tcPr>
            <w:tcW w:type="pct" w:w="24%"/>
            <w:shd w:fill="0F3460" w:val="clear"/>
            <w:tcMar>
              <w:top w:type="dxa" w:w="50"/>
              <w:left w:type="dxa" w:w="70"/>
              <w:bottom w:type="dxa" w:w="50"/>
              <w:right w:type="dxa" w:w="70"/>
            </w:tcMar>
          </w:tcPr>
          <w:p>
            <w:r>
              <w:rPr>
                <w:b/>
                <w:bCs/>
                <w:color w:val="FFFFFF"/>
                <w:sz w:val="15"/>
                <w:szCs w:val="15"/>
              </w:rPr>
              <w:t xml:space="preserve">Div III &amp; IV Modules (Operations &amp; Productivity)</w:t>
            </w:r>
          </w:p>
        </w:tc>
        <w:tc>
          <w:tcPr>
            <w:tcW w:type="pct" w:w="26%"/>
            <w:shd w:fill="0F3460" w:val="clear"/>
            <w:tcMar>
              <w:top w:type="dxa" w:w="50"/>
              <w:left w:type="dxa" w:w="70"/>
              <w:bottom w:type="dxa" w:w="50"/>
              <w:right w:type="dxa" w:w="70"/>
            </w:tcMar>
          </w:tcPr>
          <w:p>
            <w:r>
              <w:rPr>
                <w:b/>
                <w:bCs/>
                <w:color w:val="FFFFFF"/>
                <w:sz w:val="15"/>
                <w:szCs w:val="15"/>
              </w:rPr>
              <w:t xml:space="preserve">Core Workflow &amp; Deliverables</w:t>
            </w:r>
          </w:p>
        </w:tc>
      </w:tr>
      <w:tr>
        <w:tc>
          <w:tcPr>
            <w:tcW w:type="pct" w:w="24%"/>
            <w:shd w:fill="FFFFFF" w:val="clear"/>
            <w:tcMar>
              <w:top w:type="dxa" w:w="40"/>
              <w:left w:type="dxa" w:w="60"/>
              <w:bottom w:type="dxa" w:w="40"/>
              <w:right w:type="dxa" w:w="60"/>
            </w:tcMar>
          </w:tcPr>
          <w:p>
            <w:r>
              <w:rPr>
                <w:color w:val="1E293B"/>
                <w:sz w:val="14"/>
                <w:szCs w:val="14"/>
              </w:rPr>
              <w:t xml:space="preserve">1. Student Records &amp; Reports (Div I)</w:t>
            </w:r>
          </w:p>
        </w:tc>
        <w:tc>
          <w:tcPr>
            <w:tcW w:type="pct" w:w="26%"/>
            <w:shd w:fill="FFFFFF" w:val="clear"/>
            <w:tcMar>
              <w:top w:type="dxa" w:w="40"/>
              <w:left w:type="dxa" w:w="60"/>
              <w:bottom w:type="dxa" w:w="40"/>
              <w:right w:type="dxa" w:w="60"/>
            </w:tcMar>
          </w:tcPr>
          <w:p>
            <w:r>
              <w:rPr>
                <w:color w:val="1E293B"/>
                <w:sz w:val="14"/>
                <w:szCs w:val="14"/>
              </w:rPr>
              <w:t xml:space="preserve">Centralized master register, multi-criteria filters, dossiers, and audits.</w:t>
            </w:r>
          </w:p>
        </w:tc>
        <w:tc>
          <w:tcPr>
            <w:tcW w:type="pct" w:w="24%"/>
            <w:shd w:fill="FFFFFF" w:val="clear"/>
            <w:tcMar>
              <w:top w:type="dxa" w:w="40"/>
              <w:left w:type="dxa" w:w="60"/>
              <w:bottom w:type="dxa" w:w="40"/>
              <w:right w:type="dxa" w:w="60"/>
            </w:tcMar>
          </w:tcPr>
          <w:p>
            <w:r>
              <w:rPr>
                <w:color w:val="1E293B"/>
                <w:sz w:val="14"/>
                <w:szCs w:val="14"/>
              </w:rPr>
              <w:t xml:space="preserve">12. Application Merge - DSU (Div III)</w:t>
            </w:r>
          </w:p>
        </w:tc>
        <w:tc>
          <w:tcPr>
            <w:tcW w:type="pct" w:w="26%"/>
            <w:shd w:fill="FFFFFF" w:val="clear"/>
            <w:tcMar>
              <w:top w:type="dxa" w:w="40"/>
              <w:left w:type="dxa" w:w="60"/>
              <w:bottom w:type="dxa" w:w="40"/>
              <w:right w:type="dxa" w:w="60"/>
            </w:tcMar>
          </w:tcPr>
          <w:p>
            <w:r>
              <w:rPr>
                <w:color w:val="1E293B"/>
                <w:sz w:val="14"/>
                <w:szCs w:val="14"/>
              </w:rPr>
              <w:t xml:space="preserve">Algorithmic identity deduplication detecting duplicate submissions.</w:t>
            </w:r>
          </w:p>
        </w:tc>
      </w:tr>
      <w:tr>
        <w:tc>
          <w:tcPr>
            <w:tcW w:type="pct" w:w="24%"/>
            <w:shd w:fill="F8FAFC" w:val="clear"/>
            <w:tcMar>
              <w:top w:type="dxa" w:w="40"/>
              <w:left w:type="dxa" w:w="60"/>
              <w:bottom w:type="dxa" w:w="40"/>
              <w:right w:type="dxa" w:w="60"/>
            </w:tcMar>
          </w:tcPr>
          <w:p>
            <w:r>
              <w:rPr>
                <w:color w:val="1E293B"/>
                <w:sz w:val="14"/>
                <w:szCs w:val="14"/>
              </w:rPr>
              <w:t xml:space="preserve">2. Admission Register 2006–2026 (Div I)</w:t>
            </w:r>
          </w:p>
        </w:tc>
        <w:tc>
          <w:tcPr>
            <w:tcW w:type="pct" w:w="26%"/>
            <w:shd w:fill="F8FAFC" w:val="clear"/>
            <w:tcMar>
              <w:top w:type="dxa" w:w="40"/>
              <w:left w:type="dxa" w:w="60"/>
              <w:bottom w:type="dxa" w:w="40"/>
              <w:right w:type="dxa" w:w="60"/>
            </w:tcMar>
          </w:tcPr>
          <w:p>
            <w:r>
              <w:rPr>
                <w:color w:val="1E293B"/>
                <w:sz w:val="14"/>
                <w:szCs w:val="14"/>
              </w:rPr>
              <w:t xml:space="preserve">Digital replica of official school ledger &amp; JKBOSE sent-up rolls.</w:t>
            </w:r>
          </w:p>
        </w:tc>
        <w:tc>
          <w:tcPr>
            <w:tcW w:type="pct" w:w="24%"/>
            <w:shd w:fill="F8FAFC" w:val="clear"/>
            <w:tcMar>
              <w:top w:type="dxa" w:w="40"/>
              <w:left w:type="dxa" w:w="60"/>
              <w:bottom w:type="dxa" w:w="40"/>
              <w:right w:type="dxa" w:w="60"/>
            </w:tcMar>
          </w:tcPr>
          <w:p>
            <w:r>
              <w:rPr>
                <w:color w:val="1E293B"/>
                <w:sz w:val="14"/>
                <w:szCs w:val="14"/>
              </w:rPr>
              <w:t xml:space="preserve">13. Communications Broadcast (Div III)</w:t>
            </w:r>
          </w:p>
        </w:tc>
        <w:tc>
          <w:tcPr>
            <w:tcW w:type="pct" w:w="26%"/>
            <w:shd w:fill="F8FAFC" w:val="clear"/>
            <w:tcMar>
              <w:top w:type="dxa" w:w="40"/>
              <w:left w:type="dxa" w:w="60"/>
              <w:bottom w:type="dxa" w:w="40"/>
              <w:right w:type="dxa" w:w="60"/>
            </w:tcMar>
          </w:tcPr>
          <w:p>
            <w:r>
              <w:rPr>
                <w:color w:val="1E293B"/>
                <w:sz w:val="14"/>
                <w:szCs w:val="14"/>
              </w:rPr>
              <w:t xml:space="preserve">Targeted email &amp; SMS composer with micro-filtering &amp; delivery logs.</w:t>
            </w:r>
          </w:p>
        </w:tc>
      </w:tr>
      <w:tr>
        <w:tc>
          <w:tcPr>
            <w:tcW w:type="pct" w:w="24%"/>
            <w:shd w:fill="FFFFFF" w:val="clear"/>
            <w:tcMar>
              <w:top w:type="dxa" w:w="40"/>
              <w:left w:type="dxa" w:w="60"/>
              <w:bottom w:type="dxa" w:w="40"/>
              <w:right w:type="dxa" w:w="60"/>
            </w:tcMar>
          </w:tcPr>
          <w:p>
            <w:r>
              <w:rPr>
                <w:color w:val="1E293B"/>
                <w:sz w:val="14"/>
                <w:szCs w:val="14"/>
              </w:rPr>
              <w:t xml:space="preserve">3. Student Rosters &amp; Registers (Div I)</w:t>
            </w:r>
          </w:p>
        </w:tc>
        <w:tc>
          <w:tcPr>
            <w:tcW w:type="pct" w:w="26%"/>
            <w:shd w:fill="FFFFFF" w:val="clear"/>
            <w:tcMar>
              <w:top w:type="dxa" w:w="40"/>
              <w:left w:type="dxa" w:w="60"/>
              <w:bottom w:type="dxa" w:w="40"/>
              <w:right w:type="dxa" w:w="60"/>
            </w:tcMar>
          </w:tcPr>
          <w:p>
            <w:r>
              <w:rPr>
                <w:color w:val="1E293B"/>
                <w:sz w:val="14"/>
                <w:szCs w:val="14"/>
              </w:rPr>
              <w:t xml:space="preserve">Customizable tabular registers, fee sheets, class &amp; exam rosters.</w:t>
            </w:r>
          </w:p>
        </w:tc>
        <w:tc>
          <w:tcPr>
            <w:tcW w:type="pct" w:w="24%"/>
            <w:shd w:fill="FFFFFF" w:val="clear"/>
            <w:tcMar>
              <w:top w:type="dxa" w:w="40"/>
              <w:left w:type="dxa" w:w="60"/>
              <w:bottom w:type="dxa" w:w="40"/>
              <w:right w:type="dxa" w:w="60"/>
            </w:tcMar>
          </w:tcPr>
          <w:p>
            <w:r>
              <w:rPr>
                <w:color w:val="1E293B"/>
                <w:sz w:val="14"/>
                <w:szCs w:val="14"/>
              </w:rPr>
              <w:t xml:space="preserve">14. Funds &amp; Staff Income Tax (Div III)</w:t>
            </w:r>
          </w:p>
        </w:tc>
        <w:tc>
          <w:tcPr>
            <w:tcW w:type="pct" w:w="26%"/>
            <w:shd w:fill="FFFFFF" w:val="clear"/>
            <w:tcMar>
              <w:top w:type="dxa" w:w="40"/>
              <w:left w:type="dxa" w:w="60"/>
              <w:bottom w:type="dxa" w:w="40"/>
              <w:right w:type="dxa" w:w="60"/>
            </w:tcMar>
          </w:tcPr>
          <w:p>
            <w:r>
              <w:rPr>
                <w:color w:val="1E293B"/>
                <w:sz w:val="14"/>
                <w:szCs w:val="14"/>
              </w:rPr>
              <w:t xml:space="preserve">Fee ledger reconciliation, staff salary registers &amp; dual tax engine.</w:t>
            </w:r>
          </w:p>
        </w:tc>
      </w:tr>
      <w:tr>
        <w:tc>
          <w:tcPr>
            <w:tcW w:type="pct" w:w="24%"/>
            <w:shd w:fill="F8FAFC" w:val="clear"/>
            <w:tcMar>
              <w:top w:type="dxa" w:w="40"/>
              <w:left w:type="dxa" w:w="60"/>
              <w:bottom w:type="dxa" w:w="40"/>
              <w:right w:type="dxa" w:w="60"/>
            </w:tcMar>
          </w:tcPr>
          <w:p>
            <w:r>
              <w:rPr>
                <w:color w:val="1E293B"/>
                <w:sz w:val="14"/>
                <w:szCs w:val="14"/>
              </w:rPr>
              <w:t xml:space="preserve">4. Official Letterhead Writer (Div I)</w:t>
            </w:r>
          </w:p>
        </w:tc>
        <w:tc>
          <w:tcPr>
            <w:tcW w:type="pct" w:w="26%"/>
            <w:shd w:fill="F8FAFC" w:val="clear"/>
            <w:tcMar>
              <w:top w:type="dxa" w:w="40"/>
              <w:left w:type="dxa" w:w="60"/>
              <w:bottom w:type="dxa" w:w="40"/>
              <w:right w:type="dxa" w:w="60"/>
            </w:tcMar>
          </w:tcPr>
          <w:p>
            <w:r>
              <w:rPr>
                <w:color w:val="1E293B"/>
                <w:sz w:val="14"/>
                <w:szCs w:val="14"/>
              </w:rPr>
              <w:t xml:space="preserve">Document composer with Gemini AI drafting &amp; dispatch logging.</w:t>
            </w:r>
          </w:p>
        </w:tc>
        <w:tc>
          <w:tcPr>
            <w:tcW w:type="pct" w:w="24%"/>
            <w:shd w:fill="F8FAFC" w:val="clear"/>
            <w:tcMar>
              <w:top w:type="dxa" w:w="40"/>
              <w:left w:type="dxa" w:w="60"/>
              <w:bottom w:type="dxa" w:w="40"/>
              <w:right w:type="dxa" w:w="60"/>
            </w:tcMar>
          </w:tcPr>
          <w:p>
            <w:r>
              <w:rPr>
                <w:color w:val="1E293B"/>
                <w:sz w:val="14"/>
                <w:szCs w:val="14"/>
              </w:rPr>
              <w:t xml:space="preserve">15. Dynamic Website CMS (Div III)</w:t>
            </w:r>
          </w:p>
        </w:tc>
        <w:tc>
          <w:tcPr>
            <w:tcW w:type="pct" w:w="26%"/>
            <w:shd w:fill="F8FAFC" w:val="clear"/>
            <w:tcMar>
              <w:top w:type="dxa" w:w="40"/>
              <w:left w:type="dxa" w:w="60"/>
              <w:bottom w:type="dxa" w:w="40"/>
              <w:right w:type="dxa" w:w="60"/>
            </w:tcMar>
          </w:tcPr>
          <w:p>
            <w:r>
              <w:rPr>
                <w:color w:val="1E293B"/>
                <w:sz w:val="14"/>
                <w:szCs w:val="14"/>
              </w:rPr>
              <w:t xml:space="preserve">Content manager for public website notices, ticker, slides &amp; faculty.</w:t>
            </w:r>
          </w:p>
        </w:tc>
      </w:tr>
      <w:tr>
        <w:tc>
          <w:tcPr>
            <w:tcW w:type="pct" w:w="24%"/>
            <w:shd w:fill="FFFFFF" w:val="clear"/>
            <w:tcMar>
              <w:top w:type="dxa" w:w="40"/>
              <w:left w:type="dxa" w:w="60"/>
              <w:bottom w:type="dxa" w:w="40"/>
              <w:right w:type="dxa" w:w="60"/>
            </w:tcMar>
          </w:tcPr>
          <w:p>
            <w:r>
              <w:rPr>
                <w:color w:val="1E293B"/>
                <w:sz w:val="14"/>
                <w:szCs w:val="14"/>
              </w:rPr>
              <w:t xml:space="preserve">5. Bonafides &amp; Certificates (Div I)</w:t>
            </w:r>
          </w:p>
        </w:tc>
        <w:tc>
          <w:tcPr>
            <w:tcW w:type="pct" w:w="26%"/>
            <w:shd w:fill="FFFFFF" w:val="clear"/>
            <w:tcMar>
              <w:top w:type="dxa" w:w="40"/>
              <w:left w:type="dxa" w:w="60"/>
              <w:bottom w:type="dxa" w:w="40"/>
              <w:right w:type="dxa" w:w="60"/>
            </w:tcMar>
          </w:tcPr>
          <w:p>
            <w:r>
              <w:rPr>
                <w:color w:val="1E293B"/>
                <w:sz w:val="14"/>
                <w:szCs w:val="14"/>
              </w:rPr>
              <w:t xml:space="preserve">1-Click Bonafide, Character, DOB, Transfer Certs with QR codes.</w:t>
            </w:r>
          </w:p>
        </w:tc>
        <w:tc>
          <w:tcPr>
            <w:tcW w:type="pct" w:w="24%"/>
            <w:shd w:fill="FFFFFF" w:val="clear"/>
            <w:tcMar>
              <w:top w:type="dxa" w:w="40"/>
              <w:left w:type="dxa" w:w="60"/>
              <w:bottom w:type="dxa" w:w="40"/>
              <w:right w:type="dxa" w:w="60"/>
            </w:tcMar>
          </w:tcPr>
          <w:p>
            <w:r>
              <w:rPr>
                <w:color w:val="1E293B"/>
                <w:sz w:val="14"/>
                <w:szCs w:val="14"/>
              </w:rPr>
              <w:t xml:space="preserve">16. Board Data Sync - JKBOSE (Div III)</w:t>
            </w:r>
          </w:p>
        </w:tc>
        <w:tc>
          <w:tcPr>
            <w:tcW w:type="pct" w:w="26%"/>
            <w:shd w:fill="FFFFFF" w:val="clear"/>
            <w:tcMar>
              <w:top w:type="dxa" w:w="40"/>
              <w:left w:type="dxa" w:w="60"/>
              <w:bottom w:type="dxa" w:w="40"/>
              <w:right w:type="dxa" w:w="60"/>
            </w:tcMar>
          </w:tcPr>
          <w:p>
            <w:r>
              <w:rPr>
                <w:color w:val="1E293B"/>
                <w:sz w:val="14"/>
                <w:szCs w:val="14"/>
              </w:rPr>
              <w:t xml:space="preserve">Automated bridge with JKBOSE records and 30-day rollback memory.</w:t>
            </w:r>
          </w:p>
        </w:tc>
      </w:tr>
      <w:tr>
        <w:tc>
          <w:tcPr>
            <w:tcW w:type="pct" w:w="24%"/>
            <w:shd w:fill="F8FAFC" w:val="clear"/>
            <w:tcMar>
              <w:top w:type="dxa" w:w="40"/>
              <w:left w:type="dxa" w:w="60"/>
              <w:bottom w:type="dxa" w:w="40"/>
              <w:right w:type="dxa" w:w="60"/>
            </w:tcMar>
          </w:tcPr>
          <w:p>
            <w:r>
              <w:rPr>
                <w:color w:val="1E293B"/>
                <w:sz w:val="14"/>
                <w:szCs w:val="14"/>
              </w:rPr>
              <w:t xml:space="preserve">6. Student ID Card Studio (Div I)</w:t>
            </w:r>
          </w:p>
        </w:tc>
        <w:tc>
          <w:tcPr>
            <w:tcW w:type="pct" w:w="26%"/>
            <w:shd w:fill="F8FAFC" w:val="clear"/>
            <w:tcMar>
              <w:top w:type="dxa" w:w="40"/>
              <w:left w:type="dxa" w:w="60"/>
              <w:bottom w:type="dxa" w:w="40"/>
              <w:right w:type="dxa" w:w="60"/>
            </w:tcMar>
          </w:tcPr>
          <w:p>
            <w:r>
              <w:rPr>
                <w:color w:val="1E293B"/>
                <w:sz w:val="14"/>
                <w:szCs w:val="14"/>
              </w:rPr>
              <w:t xml:space="preserve">Batch identity card synthesis with photos and barcode/QR layouts.</w:t>
            </w:r>
          </w:p>
        </w:tc>
        <w:tc>
          <w:tcPr>
            <w:tcW w:type="pct" w:w="24%"/>
            <w:shd w:fill="F8FAFC" w:val="clear"/>
            <w:tcMar>
              <w:top w:type="dxa" w:w="40"/>
              <w:left w:type="dxa" w:w="60"/>
              <w:bottom w:type="dxa" w:w="40"/>
              <w:right w:type="dxa" w:w="60"/>
            </w:tcMar>
          </w:tcPr>
          <w:p>
            <w:r>
              <w:rPr>
                <w:color w:val="1E293B"/>
                <w:sz w:val="14"/>
                <w:szCs w:val="14"/>
              </w:rPr>
              <w:t xml:space="preserve">17. Quick Cell Edit Hover (Div IV)</w:t>
            </w:r>
          </w:p>
        </w:tc>
        <w:tc>
          <w:tcPr>
            <w:tcW w:type="pct" w:w="26%"/>
            <w:shd w:fill="F8FAFC" w:val="clear"/>
            <w:tcMar>
              <w:top w:type="dxa" w:w="40"/>
              <w:left w:type="dxa" w:w="60"/>
              <w:bottom w:type="dxa" w:w="40"/>
              <w:right w:type="dxa" w:w="60"/>
            </w:tcMar>
          </w:tcPr>
          <w:p>
            <w:r>
              <w:rPr>
                <w:color w:val="1E293B"/>
                <w:sz w:val="14"/>
                <w:szCs w:val="14"/>
              </w:rPr>
              <w:t xml:space="preserve">Inline micro-editing directly on table cells with single-click save.</w:t>
            </w:r>
          </w:p>
        </w:tc>
      </w:tr>
      <w:tr>
        <w:tc>
          <w:tcPr>
            <w:tcW w:type="pct" w:w="24%"/>
            <w:shd w:fill="FFFFFF" w:val="clear"/>
            <w:tcMar>
              <w:top w:type="dxa" w:w="40"/>
              <w:left w:type="dxa" w:w="60"/>
              <w:bottom w:type="dxa" w:w="40"/>
              <w:right w:type="dxa" w:w="60"/>
            </w:tcMar>
          </w:tcPr>
          <w:p>
            <w:r>
              <w:rPr>
                <w:color w:val="1E293B"/>
                <w:sz w:val="14"/>
                <w:szCs w:val="14"/>
              </w:rPr>
              <w:t xml:space="preserve">7. Competitive Exams &amp; OMR (Div I)</w:t>
            </w:r>
          </w:p>
        </w:tc>
        <w:tc>
          <w:tcPr>
            <w:tcW w:type="pct" w:w="26%"/>
            <w:shd w:fill="FFFFFF" w:val="clear"/>
            <w:tcMar>
              <w:top w:type="dxa" w:w="40"/>
              <w:left w:type="dxa" w:w="60"/>
              <w:bottom w:type="dxa" w:w="40"/>
              <w:right w:type="dxa" w:w="60"/>
            </w:tcMar>
          </w:tcPr>
          <w:p>
            <w:r>
              <w:rPr>
                <w:color w:val="1E293B"/>
                <w:sz w:val="14"/>
                <w:szCs w:val="14"/>
              </w:rPr>
              <w:t xml:space="preserve">Screening exams, scholarship mocks, admit cards and OMR grading.</w:t>
            </w:r>
          </w:p>
        </w:tc>
        <w:tc>
          <w:tcPr>
            <w:tcW w:type="pct" w:w="24%"/>
            <w:shd w:fill="FFFFFF" w:val="clear"/>
            <w:tcMar>
              <w:top w:type="dxa" w:w="40"/>
              <w:left w:type="dxa" w:w="60"/>
              <w:bottom w:type="dxa" w:w="40"/>
              <w:right w:type="dxa" w:w="60"/>
            </w:tcMar>
          </w:tcPr>
          <w:p>
            <w:r>
              <w:rPr>
                <w:color w:val="1E293B"/>
                <w:sz w:val="14"/>
                <w:szCs w:val="14"/>
              </w:rPr>
              <w:t xml:space="preserve">18. Demographic &amp; Parity Analytics (Div IV)</w:t>
            </w:r>
          </w:p>
        </w:tc>
        <w:tc>
          <w:tcPr>
            <w:tcW w:type="pct" w:w="26%"/>
            <w:shd w:fill="FFFFFF" w:val="clear"/>
            <w:tcMar>
              <w:top w:type="dxa" w:w="40"/>
              <w:left w:type="dxa" w:w="60"/>
              <w:bottom w:type="dxa" w:w="40"/>
              <w:right w:type="dxa" w:w="60"/>
            </w:tcMar>
          </w:tcPr>
          <w:p>
            <w:r>
              <w:rPr>
                <w:color w:val="1E293B"/>
                <w:sz w:val="14"/>
                <w:szCs w:val="14"/>
              </w:rPr>
              <w:t xml:space="preserve">Gender parity ratios, stream distributions &amp; category analytics.</w:t>
            </w:r>
          </w:p>
        </w:tc>
      </w:tr>
      <w:tr>
        <w:tc>
          <w:tcPr>
            <w:tcW w:type="pct" w:w="24%"/>
            <w:shd w:fill="F8FAFC" w:val="clear"/>
            <w:tcMar>
              <w:top w:type="dxa" w:w="40"/>
              <w:left w:type="dxa" w:w="60"/>
              <w:bottom w:type="dxa" w:w="40"/>
              <w:right w:type="dxa" w:w="60"/>
            </w:tcMar>
          </w:tcPr>
          <w:p>
            <w:r>
              <w:rPr>
                <w:color w:val="1E293B"/>
                <w:sz w:val="14"/>
                <w:szCs w:val="14"/>
              </w:rPr>
              <w:t xml:space="preserve">8. Academic Controls &amp; Rules (Div II)</w:t>
            </w:r>
          </w:p>
        </w:tc>
        <w:tc>
          <w:tcPr>
            <w:tcW w:type="pct" w:w="26%"/>
            <w:shd w:fill="F8FAFC" w:val="clear"/>
            <w:tcMar>
              <w:top w:type="dxa" w:w="40"/>
              <w:left w:type="dxa" w:w="60"/>
              <w:bottom w:type="dxa" w:w="40"/>
              <w:right w:type="dxa" w:w="60"/>
            </w:tcMar>
          </w:tcPr>
          <w:p>
            <w:r>
              <w:rPr>
                <w:color w:val="1E293B"/>
                <w:sz w:val="14"/>
                <w:szCs w:val="14"/>
              </w:rPr>
              <w:t xml:space="preserve">Master console for sessions, admission toggles, caps &amp; stream rules.</w:t>
            </w:r>
          </w:p>
        </w:tc>
        <w:tc>
          <w:tcPr>
            <w:tcW w:type="pct" w:w="24%"/>
            <w:shd w:fill="F8FAFC" w:val="clear"/>
            <w:tcMar>
              <w:top w:type="dxa" w:w="40"/>
              <w:left w:type="dxa" w:w="60"/>
              <w:bottom w:type="dxa" w:w="40"/>
              <w:right w:type="dxa" w:w="60"/>
            </w:tcMar>
          </w:tcPr>
          <w:p>
            <w:r>
              <w:rPr>
                <w:color w:val="1E293B"/>
                <w:sz w:val="14"/>
                <w:szCs w:val="14"/>
              </w:rPr>
              <w:t xml:space="preserve">19. Express Direct Record Entry (Div IV)</w:t>
            </w:r>
          </w:p>
        </w:tc>
        <w:tc>
          <w:tcPr>
            <w:tcW w:type="pct" w:w="26%"/>
            <w:shd w:fill="F8FAFC" w:val="clear"/>
            <w:tcMar>
              <w:top w:type="dxa" w:w="40"/>
              <w:left w:type="dxa" w:w="60"/>
              <w:bottom w:type="dxa" w:w="40"/>
              <w:right w:type="dxa" w:w="60"/>
            </w:tcMar>
          </w:tcPr>
          <w:p>
            <w:r>
              <w:rPr>
                <w:color w:val="1E293B"/>
                <w:sz w:val="14"/>
                <w:szCs w:val="14"/>
              </w:rPr>
              <w:t xml:space="preserve">Single-window rapid walk-in admission and immediate receipts.</w:t>
            </w:r>
          </w:p>
        </w:tc>
      </w:tr>
      <w:tr>
        <w:tc>
          <w:tcPr>
            <w:tcW w:type="pct" w:w="24%"/>
            <w:shd w:fill="FFFFFF" w:val="clear"/>
            <w:tcMar>
              <w:top w:type="dxa" w:w="40"/>
              <w:left w:type="dxa" w:w="60"/>
              <w:bottom w:type="dxa" w:w="40"/>
              <w:right w:type="dxa" w:w="60"/>
            </w:tcMar>
          </w:tcPr>
          <w:p>
            <w:r>
              <w:rPr>
                <w:color w:val="1E293B"/>
                <w:sz w:val="14"/>
                <w:szCs w:val="14"/>
              </w:rPr>
              <w:t xml:space="preserve">9. Practicals &amp; Award Rolls (Div II)</w:t>
            </w:r>
          </w:p>
        </w:tc>
        <w:tc>
          <w:tcPr>
            <w:tcW w:type="pct" w:w="26%"/>
            <w:shd w:fill="FFFFFF" w:val="clear"/>
            <w:tcMar>
              <w:top w:type="dxa" w:w="40"/>
              <w:left w:type="dxa" w:w="60"/>
              <w:bottom w:type="dxa" w:w="40"/>
              <w:right w:type="dxa" w:w="60"/>
            </w:tcMar>
          </w:tcPr>
          <w:p>
            <w:r>
              <w:rPr>
                <w:color w:val="1E293B"/>
                <w:sz w:val="14"/>
                <w:szCs w:val="14"/>
              </w:rPr>
              <w:t xml:space="preserve">Consolidates practical marks with ceiling checks &amp; board rosters.</w:t>
            </w:r>
          </w:p>
        </w:tc>
        <w:tc>
          <w:tcPr>
            <w:tcW w:type="pct" w:w="24%"/>
            <w:shd w:fill="FFFFFF" w:val="clear"/>
            <w:tcMar>
              <w:top w:type="dxa" w:w="40"/>
              <w:left w:type="dxa" w:w="60"/>
              <w:bottom w:type="dxa" w:w="40"/>
              <w:right w:type="dxa" w:w="60"/>
            </w:tcMar>
          </w:tcPr>
          <w:p>
            <w:r>
              <w:rPr>
                <w:color w:val="1E293B"/>
                <w:sz w:val="14"/>
                <w:szCs w:val="14"/>
              </w:rPr>
              <w:t xml:space="preserve">20. Multi-Session Backup Suite (Div IV)</w:t>
            </w:r>
          </w:p>
        </w:tc>
        <w:tc>
          <w:tcPr>
            <w:tcW w:type="pct" w:w="26%"/>
            <w:shd w:fill="FFFFFF" w:val="clear"/>
            <w:tcMar>
              <w:top w:type="dxa" w:w="40"/>
              <w:left w:type="dxa" w:w="60"/>
              <w:bottom w:type="dxa" w:w="40"/>
              <w:right w:type="dxa" w:w="60"/>
            </w:tcMar>
          </w:tcPr>
          <w:p>
            <w:r>
              <w:rPr>
                <w:color w:val="1E293B"/>
                <w:sz w:val="14"/>
                <w:szCs w:val="14"/>
              </w:rPr>
              <w:t xml:space="preserve">Multi-session exporter (2006–2026) with cloud photo resolution.</w:t>
            </w:r>
          </w:p>
        </w:tc>
      </w:tr>
      <w:tr>
        <w:tc>
          <w:tcPr>
            <w:tcW w:type="pct" w:w="24%"/>
            <w:shd w:fill="F8FAFC" w:val="clear"/>
            <w:tcMar>
              <w:top w:type="dxa" w:w="40"/>
              <w:left w:type="dxa" w:w="60"/>
              <w:bottom w:type="dxa" w:w="40"/>
              <w:right w:type="dxa" w:w="60"/>
            </w:tcMar>
          </w:tcPr>
          <w:p>
            <w:r>
              <w:rPr>
                <w:color w:val="1E293B"/>
                <w:sz w:val="14"/>
                <w:szCs w:val="14"/>
              </w:rPr>
              <w:t xml:space="preserve">10. Attendance Management (Div II)</w:t>
            </w:r>
          </w:p>
        </w:tc>
        <w:tc>
          <w:tcPr>
            <w:tcW w:type="pct" w:w="26%"/>
            <w:shd w:fill="F8FAFC" w:val="clear"/>
            <w:tcMar>
              <w:top w:type="dxa" w:w="40"/>
              <w:left w:type="dxa" w:w="60"/>
              <w:bottom w:type="dxa" w:w="40"/>
              <w:right w:type="dxa" w:w="60"/>
            </w:tcMar>
          </w:tcPr>
          <w:p>
            <w:r>
              <w:rPr>
                <w:color w:val="1E293B"/>
                <w:sz w:val="14"/>
                <w:szCs w:val="14"/>
              </w:rPr>
              <w:t xml:space="preserve">Daily roll call, aggregate section tracking &amp; &lt;75% shortage alert.</w:t>
            </w:r>
          </w:p>
        </w:tc>
        <w:tc>
          <w:tcPr>
            <w:tcW w:type="pct" w:w="24%"/>
            <w:shd w:fill="F8FAFC" w:val="clear"/>
            <w:tcMar>
              <w:top w:type="dxa" w:w="40"/>
              <w:left w:type="dxa" w:w="60"/>
              <w:bottom w:type="dxa" w:w="40"/>
              <w:right w:type="dxa" w:w="60"/>
            </w:tcMar>
          </w:tcPr>
          <w:p>
            <w:r>
              <w:rPr>
                <w:color w:val="1E293B"/>
                <w:sz w:val="14"/>
                <w:szCs w:val="14"/>
              </w:rPr>
              <w:t xml:space="preserve">—</w:t>
            </w:r>
          </w:p>
        </w:tc>
        <w:tc>
          <w:tcPr>
            <w:tcW w:type="pct" w:w="26%"/>
            <w:shd w:fill="F8FAFC" w:val="clear"/>
            <w:tcMar>
              <w:top w:type="dxa" w:w="40"/>
              <w:left w:type="dxa" w:w="60"/>
              <w:bottom w:type="dxa" w:w="40"/>
              <w:right w:type="dxa" w:w="60"/>
            </w:tcMar>
          </w:tcPr>
          <w:p>
            <w:r>
              <w:rPr>
                <w:color w:val="1E293B"/>
                <w:sz w:val="14"/>
                <w:szCs w:val="14"/>
              </w:rPr>
              <w:t xml:space="preserve">—</w:t>
            </w:r>
          </w:p>
        </w:tc>
      </w:tr>
      <w:tr>
        <w:tc>
          <w:tcPr>
            <w:tcW w:type="pct" w:w="24%"/>
            <w:shd w:fill="FFFFFF" w:val="clear"/>
            <w:tcMar>
              <w:top w:type="dxa" w:w="40"/>
              <w:left w:type="dxa" w:w="60"/>
              <w:bottom w:type="dxa" w:w="40"/>
              <w:right w:type="dxa" w:w="60"/>
            </w:tcMar>
          </w:tcPr>
          <w:p>
            <w:r>
              <w:rPr>
                <w:color w:val="1E293B"/>
                <w:sz w:val="14"/>
                <w:szCs w:val="14"/>
              </w:rPr>
              <w:t xml:space="preserve">11. Class Roll Number Manager (Div II)</w:t>
            </w:r>
          </w:p>
        </w:tc>
        <w:tc>
          <w:tcPr>
            <w:tcW w:type="pct" w:w="26%"/>
            <w:shd w:fill="FFFFFF" w:val="clear"/>
            <w:tcMar>
              <w:top w:type="dxa" w:w="40"/>
              <w:left w:type="dxa" w:w="60"/>
              <w:bottom w:type="dxa" w:w="40"/>
              <w:right w:type="dxa" w:w="60"/>
            </w:tcMar>
          </w:tcPr>
          <w:p>
            <w:r>
              <w:rPr>
                <w:color w:val="1E293B"/>
                <w:sz w:val="14"/>
                <w:szCs w:val="14"/>
              </w:rPr>
              <w:t xml:space="preserve">Conflict-free sequential roll number generation with auto-collision fix.</w:t>
            </w:r>
          </w:p>
        </w:tc>
        <w:tc>
          <w:tcPr>
            <w:tcW w:type="pct" w:w="24%"/>
            <w:shd w:fill="FFFFFF" w:val="clear"/>
            <w:tcMar>
              <w:top w:type="dxa" w:w="40"/>
              <w:left w:type="dxa" w:w="60"/>
              <w:bottom w:type="dxa" w:w="40"/>
              <w:right w:type="dxa" w:w="60"/>
            </w:tcMar>
          </w:tcPr>
          <w:p>
            <w:r>
              <w:rPr>
                <w:color w:val="1E293B"/>
                <w:sz w:val="14"/>
                <w:szCs w:val="14"/>
              </w:rPr>
              <w:t xml:space="preserve">—</w:t>
            </w:r>
          </w:p>
        </w:tc>
        <w:tc>
          <w:tcPr>
            <w:tcW w:type="pct" w:w="26%"/>
            <w:shd w:fill="FFFFFF" w:val="clear"/>
            <w:tcMar>
              <w:top w:type="dxa" w:w="40"/>
              <w:left w:type="dxa" w:w="60"/>
              <w:bottom w:type="dxa" w:w="40"/>
              <w:right w:type="dxa" w:w="60"/>
            </w:tcMar>
          </w:tcPr>
          <w:p>
            <w:r>
              <w:rPr>
                <w:color w:val="1E293B"/>
                <w:sz w:val="14"/>
                <w:szCs w:val="14"/>
              </w:rPr>
              <w:t xml:space="preserve">—</w:t>
            </w:r>
          </w:p>
        </w:tc>
      </w:tr>
    </w:tbl>
    <w:p>
      <w:pPr>
        <w:spacing w:before="100"/>
      </w:pPr>
    </w:p>
    <w:p>
      <w:pPr>
        <w:pStyle w:val="Heading1"/>
        <w:spacing w:before="140" w:after="50"/>
      </w:pPr>
      <w:r>
        <w:t xml:space="preserve">4. Display Controls, Security Architecture &amp; Cost-Benefit ROI</w:t>
      </w:r>
    </w:p>
    <w:tbl>
      <w:tblPr>
        <w:tblW w:type="pct" w:w="100%"/>
        <w:tblBorders>
          <w:top w:val="single" w:color="CBD5E1" w:sz="6"/>
          <w:left w:val="single" w:color="E2E8F0" w:sz="4"/>
          <w:bottom w:val="single" w:color="CBD5E1" w:sz="6"/>
          <w:right w:val="single" w:color="E2E8F0" w:sz="4"/>
          <w:insideH w:val="single" w:color="E2E8F0" w:sz="4"/>
          <w:insideV w:val="single" w:color="E2E8F0" w:sz="4"/>
        </w:tblBorders>
      </w:tblPr>
      <w:tblGrid>
        <w:gridCol w:w="100"/>
        <w:gridCol w:w="100"/>
        <w:gridCol w:w="100"/>
      </w:tblGrid>
      <w:tr>
        <w:trPr>
          <w:tblHeader/>
        </w:trPr>
        <w:tc>
          <w:tcPr>
            <w:tcW w:type="pct" w:w="22%"/>
            <w:shd w:fill="0F3460" w:val="clear"/>
            <w:tcMar>
              <w:top w:type="dxa" w:w="50"/>
              <w:left w:type="dxa" w:w="70"/>
              <w:bottom w:type="dxa" w:w="50"/>
              <w:right w:type="dxa" w:w="70"/>
            </w:tcMar>
          </w:tcPr>
          <w:p>
            <w:r>
              <w:rPr>
                <w:b/>
                <w:bCs/>
                <w:color w:val="FFFFFF"/>
                <w:sz w:val="15"/>
                <w:szCs w:val="15"/>
              </w:rPr>
              <w:t xml:space="preserve">Pillar</w:t>
            </w:r>
          </w:p>
        </w:tc>
        <w:tc>
          <w:tcPr>
            <w:tcW w:type="pct" w:w="38%"/>
            <w:shd w:fill="0F3460" w:val="clear"/>
            <w:tcMar>
              <w:top w:type="dxa" w:w="50"/>
              <w:left w:type="dxa" w:w="70"/>
              <w:bottom w:type="dxa" w:w="50"/>
              <w:right w:type="dxa" w:w="70"/>
            </w:tcMar>
          </w:tcPr>
          <w:p>
            <w:r>
              <w:rPr>
                <w:b/>
                <w:bCs/>
                <w:color w:val="FFFFFF"/>
                <w:sz w:val="15"/>
                <w:szCs w:val="15"/>
              </w:rPr>
              <w:t xml:space="preserve">Technical Architecture &amp; Feature</w:t>
            </w:r>
          </w:p>
        </w:tc>
        <w:tc>
          <w:tcPr>
            <w:tcW w:type="pct" w:w="40%"/>
            <w:shd w:fill="0F3460" w:val="clear"/>
            <w:tcMar>
              <w:top w:type="dxa" w:w="50"/>
              <w:left w:type="dxa" w:w="70"/>
              <w:bottom w:type="dxa" w:w="50"/>
              <w:right w:type="dxa" w:w="70"/>
            </w:tcMar>
          </w:tcPr>
          <w:p>
            <w:r>
              <w:rPr>
                <w:b/>
                <w:bCs/>
                <w:color w:val="FFFFFF"/>
                <w:sz w:val="15"/>
                <w:szCs w:val="15"/>
              </w:rPr>
              <w:t xml:space="preserve">Measurable Institutional Value for GHSS Shangus</w:t>
            </w:r>
          </w:p>
        </w:tc>
      </w:tr>
      <w:tr>
        <w:tc>
          <w:tcPr>
            <w:tcW w:type="pct" w:w="22%"/>
            <w:shd w:fill="FFFFFF" w:val="clear"/>
            <w:tcMar>
              <w:top w:type="dxa" w:w="40"/>
              <w:left w:type="dxa" w:w="60"/>
              <w:bottom w:type="dxa" w:w="40"/>
              <w:right w:type="dxa" w:w="60"/>
            </w:tcMar>
          </w:tcPr>
          <w:p>
            <w:r>
              <w:rPr>
                <w:color w:val="1E293B"/>
                <w:sz w:val="14"/>
                <w:szCs w:val="14"/>
              </w:rPr>
              <w:t xml:space="preserve">Multi-Density Display &amp; Columns</w:t>
            </w:r>
          </w:p>
        </w:tc>
        <w:tc>
          <w:tcPr>
            <w:tcW w:type="pct" w:w="38%"/>
            <w:shd w:fill="FFFFFF" w:val="clear"/>
            <w:tcMar>
              <w:top w:type="dxa" w:w="40"/>
              <w:left w:type="dxa" w:w="60"/>
              <w:bottom w:type="dxa" w:w="40"/>
              <w:right w:type="dxa" w:w="60"/>
            </w:tcMar>
          </w:tcPr>
          <w:p>
            <w:r>
              <w:rPr>
                <w:color w:val="1E293B"/>
                <w:sz w:val="14"/>
                <w:szCs w:val="14"/>
              </w:rPr>
              <w:t xml:space="preserve">Multi-Density Table Display (Fit / Compact / Normal) + Custom Table Column Manager.</w:t>
            </w:r>
          </w:p>
        </w:tc>
        <w:tc>
          <w:tcPr>
            <w:tcW w:type="pct" w:w="40%"/>
            <w:shd w:fill="FFFFFF" w:val="clear"/>
            <w:tcMar>
              <w:top w:type="dxa" w:w="40"/>
              <w:left w:type="dxa" w:w="60"/>
              <w:bottom w:type="dxa" w:w="40"/>
              <w:right w:type="dxa" w:w="60"/>
            </w:tcMar>
          </w:tcPr>
          <w:p>
            <w:r>
              <w:rPr>
                <w:color w:val="1E293B"/>
                <w:sz w:val="14"/>
                <w:szCs w:val="14"/>
              </w:rPr>
              <w:t xml:space="preserve">Displays 100+ student rows on standard office monitors simultaneously without excessive vertical scrolling; enables tailored printouts in seconds.</w:t>
            </w:r>
          </w:p>
        </w:tc>
      </w:tr>
      <w:tr>
        <w:tc>
          <w:tcPr>
            <w:tcW w:type="pct" w:w="22%"/>
            <w:shd w:fill="F8FAFC" w:val="clear"/>
            <w:tcMar>
              <w:top w:type="dxa" w:w="40"/>
              <w:left w:type="dxa" w:w="60"/>
              <w:bottom w:type="dxa" w:w="40"/>
              <w:right w:type="dxa" w:w="60"/>
            </w:tcMar>
          </w:tcPr>
          <w:p>
            <w:r>
              <w:rPr>
                <w:color w:val="1E293B"/>
                <w:sz w:val="14"/>
                <w:szCs w:val="14"/>
              </w:rPr>
              <w:t xml:space="preserve">Data Safety &amp; Cloud Sync</w:t>
            </w:r>
          </w:p>
        </w:tc>
        <w:tc>
          <w:tcPr>
            <w:tcW w:type="pct" w:w="38%"/>
            <w:shd w:fill="F8FAFC" w:val="clear"/>
            <w:tcMar>
              <w:top w:type="dxa" w:w="40"/>
              <w:left w:type="dxa" w:w="60"/>
              <w:bottom w:type="dxa" w:w="40"/>
              <w:right w:type="dxa" w:w="60"/>
            </w:tcMar>
          </w:tcPr>
          <w:p>
            <w:r>
              <w:rPr>
                <w:color w:val="1E293B"/>
                <w:sz w:val="14"/>
                <w:szCs w:val="14"/>
              </w:rPr>
              <w:t xml:space="preserve">90-Day Protected Recycle Bin for soft-deletions + Real-Time Force Sync engine with Google Cloud Firestore.</w:t>
            </w:r>
          </w:p>
        </w:tc>
        <w:tc>
          <w:tcPr>
            <w:tcW w:type="pct" w:w="40%"/>
            <w:shd w:fill="F8FAFC" w:val="clear"/>
            <w:tcMar>
              <w:top w:type="dxa" w:w="40"/>
              <w:left w:type="dxa" w:w="60"/>
              <w:bottom w:type="dxa" w:w="40"/>
              <w:right w:type="dxa" w:w="60"/>
            </w:tcMar>
          </w:tcPr>
          <w:p>
            <w:r>
              <w:rPr>
                <w:color w:val="1E293B"/>
                <w:sz w:val="14"/>
                <w:szCs w:val="14"/>
              </w:rPr>
              <w:t xml:space="preserve">Zero risk of permanent accidental data loss; instantaneous cross-device synchronization across multiple school office terminals.</w:t>
            </w:r>
          </w:p>
        </w:tc>
      </w:tr>
      <w:tr>
        <w:tc>
          <w:tcPr>
            <w:tcW w:type="pct" w:w="22%"/>
            <w:shd w:fill="FFFFFF" w:val="clear"/>
            <w:tcMar>
              <w:top w:type="dxa" w:w="40"/>
              <w:left w:type="dxa" w:w="60"/>
              <w:bottom w:type="dxa" w:w="40"/>
              <w:right w:type="dxa" w:w="60"/>
            </w:tcMar>
          </w:tcPr>
          <w:p>
            <w:r>
              <w:rPr>
                <w:color w:val="1E293B"/>
                <w:sz w:val="14"/>
                <w:szCs w:val="14"/>
              </w:rPr>
              <w:t xml:space="preserve">Institutional RBAC Security</w:t>
            </w:r>
          </w:p>
        </w:tc>
        <w:tc>
          <w:tcPr>
            <w:tcW w:type="pct" w:w="38%"/>
            <w:shd w:fill="FFFFFF" w:val="clear"/>
            <w:tcMar>
              <w:top w:type="dxa" w:w="40"/>
              <w:left w:type="dxa" w:w="60"/>
              <w:bottom w:type="dxa" w:w="40"/>
              <w:right w:type="dxa" w:w="60"/>
            </w:tcMar>
          </w:tcPr>
          <w:p>
            <w:r>
              <w:rPr>
                <w:color w:val="1E293B"/>
                <w:sz w:val="14"/>
                <w:szCs w:val="14"/>
              </w:rPr>
              <w:t xml:space="preserve">19-Module Granular Role-Based Access Control (Accounts Clerk preset) + Zero-Trust Firestore rules.</w:t>
            </w:r>
          </w:p>
        </w:tc>
        <w:tc>
          <w:tcPr>
            <w:tcW w:type="pct" w:w="40%"/>
            <w:shd w:fill="FFFFFF" w:val="clear"/>
            <w:tcMar>
              <w:top w:type="dxa" w:w="40"/>
              <w:left w:type="dxa" w:w="60"/>
              <w:bottom w:type="dxa" w:w="40"/>
              <w:right w:type="dxa" w:w="60"/>
            </w:tcMar>
          </w:tcPr>
          <w:p>
            <w:r>
              <w:rPr>
                <w:color w:val="1E293B"/>
                <w:sz w:val="14"/>
                <w:szCs w:val="14"/>
              </w:rPr>
              <w:t xml:space="preserve">Complete role isolation; prevents unauthorized ledger alterations; eliminates the security hazards of shared master passwords.</w:t>
            </w:r>
          </w:p>
        </w:tc>
      </w:tr>
      <w:tr>
        <w:tc>
          <w:tcPr>
            <w:tcW w:type="pct" w:w="22%"/>
            <w:shd w:fill="F8FAFC" w:val="clear"/>
            <w:tcMar>
              <w:top w:type="dxa" w:w="40"/>
              <w:left w:type="dxa" w:w="60"/>
              <w:bottom w:type="dxa" w:w="40"/>
              <w:right w:type="dxa" w:w="60"/>
            </w:tcMar>
          </w:tcPr>
          <w:p>
            <w:r>
              <w:rPr>
                <w:color w:val="1E293B"/>
                <w:sz w:val="14"/>
                <w:szCs w:val="14"/>
              </w:rPr>
              <w:t xml:space="preserve">Zero-Latency Performance</w:t>
            </w:r>
          </w:p>
        </w:tc>
        <w:tc>
          <w:tcPr>
            <w:tcW w:type="pct" w:w="38%"/>
            <w:shd w:fill="F8FAFC" w:val="clear"/>
            <w:tcMar>
              <w:top w:type="dxa" w:w="40"/>
              <w:left w:type="dxa" w:w="60"/>
              <w:bottom w:type="dxa" w:w="40"/>
              <w:right w:type="dxa" w:w="60"/>
            </w:tcMar>
          </w:tcPr>
          <w:p>
            <w:r>
              <w:rPr>
                <w:color w:val="1E293B"/>
                <w:sz w:val="14"/>
                <w:szCs w:val="14"/>
              </w:rPr>
              <w:t xml:space="preserve">0 ms Total Blocking Time (TBT). React Single Page Application architecture with client-side document synthesis.</w:t>
            </w:r>
          </w:p>
        </w:tc>
        <w:tc>
          <w:tcPr>
            <w:tcW w:type="pct" w:w="40%"/>
            <w:shd w:fill="F8FAFC" w:val="clear"/>
            <w:tcMar>
              <w:top w:type="dxa" w:w="40"/>
              <w:left w:type="dxa" w:w="60"/>
              <w:bottom w:type="dxa" w:w="40"/>
              <w:right w:type="dxa" w:w="60"/>
            </w:tcMar>
          </w:tcPr>
          <w:p>
            <w:r>
              <w:rPr>
                <w:color w:val="1E293B"/>
                <w:sz w:val="14"/>
                <w:szCs w:val="14"/>
              </w:rPr>
              <w:t xml:space="preserve">Loads fluidly in under 1 second even on 2G/3G mobile networks; zero server lag during peak admission or result release periods.</w:t>
            </w:r>
          </w:p>
        </w:tc>
      </w:tr>
      <w:tr>
        <w:tc>
          <w:tcPr>
            <w:tcW w:type="pct" w:w="22%"/>
            <w:shd w:fill="FFFFFF" w:val="clear"/>
            <w:tcMar>
              <w:top w:type="dxa" w:w="40"/>
              <w:left w:type="dxa" w:w="60"/>
              <w:bottom w:type="dxa" w:w="40"/>
              <w:right w:type="dxa" w:w="60"/>
            </w:tcMar>
          </w:tcPr>
          <w:p>
            <w:r>
              <w:rPr>
                <w:color w:val="1E293B"/>
                <w:sz w:val="14"/>
                <w:szCs w:val="14"/>
              </w:rPr>
              <w:t xml:space="preserve">Financial &amp; Labor ROI</w:t>
            </w:r>
          </w:p>
        </w:tc>
        <w:tc>
          <w:tcPr>
            <w:tcW w:type="pct" w:w="38%"/>
            <w:shd w:fill="FFFFFF" w:val="clear"/>
            <w:tcMar>
              <w:top w:type="dxa" w:w="40"/>
              <w:left w:type="dxa" w:w="60"/>
              <w:bottom w:type="dxa" w:w="40"/>
              <w:right w:type="dxa" w:w="60"/>
            </w:tcMar>
          </w:tcPr>
          <w:p>
            <w:r>
              <w:rPr>
                <w:color w:val="1E293B"/>
                <w:sz w:val="14"/>
                <w:szCs w:val="14"/>
              </w:rPr>
              <w:t xml:space="preserve">In-house sovereign platform with ₹0 recurring licensing fees + automated clerical aggregation.</w:t>
            </w:r>
          </w:p>
        </w:tc>
        <w:tc>
          <w:tcPr>
            <w:tcW w:type="pct" w:w="40%"/>
            <w:shd w:fill="FFFFFF" w:val="clear"/>
            <w:tcMar>
              <w:top w:type="dxa" w:w="40"/>
              <w:left w:type="dxa" w:w="60"/>
              <w:bottom w:type="dxa" w:w="40"/>
              <w:right w:type="dxa" w:w="60"/>
            </w:tcMar>
          </w:tcPr>
          <w:p>
            <w:r>
              <w:rPr>
                <w:color w:val="1E293B"/>
                <w:sz w:val="14"/>
                <w:szCs w:val="14"/>
              </w:rPr>
              <w:t xml:space="preserve">Saves GHSS Shangus ₹75,000 to ₹1,80,000 annually vs commercial ERP subscriptions; saves over 350+ clerical staff hours each session.</w:t>
            </w:r>
          </w:p>
        </w:tc>
      </w:tr>
    </w:tbl>
    <w:p>
      <w:pPr>
        <w:spacing w:before="110"/>
      </w:pPr>
    </w:p>
    <w:tbl>
      <w:tblPr>
        <w:tblW w:type="pct" w:w="100%"/>
        <w:tblBorders>
          <w:top w:val="none"/>
          <w:left w:val="single" w:color="047857" w:sz="20"/>
          <w:bottom w:val="none"/>
          <w:right w:val="none"/>
          <w:insideH w:val="single" w:color="auto" w:sz="4"/>
          <w:insideV w:val="single" w:color="auto" w:sz="4"/>
        </w:tblBorders>
      </w:tblPr>
      <w:tblGrid>
        <w:gridCol w:w="100"/>
      </w:tblGrid>
      <w:tr>
        <w:tc>
          <w:tcPr>
            <w:shd w:fill="ECFDF5" w:val="clear"/>
            <w:tcMar>
              <w:top w:type="dxa" w:w="70"/>
              <w:left w:type="dxa" w:w="110"/>
              <w:bottom w:type="dxa" w:w="70"/>
              <w:right w:type="dxa" w:w="110"/>
            </w:tcMar>
          </w:tcPr>
          <w:p>
            <w:r>
              <w:rPr>
                <w:b/>
                <w:bCs/>
                <w:color w:val="065F46"/>
                <w:sz w:val="18"/>
                <w:szCs w:val="18"/>
              </w:rPr>
              <w:t xml:space="preserve">FORMAL RECOMMENDATION FOR THE OFFICE OF THE PRINCIPAL</w:t>
            </w:r>
          </w:p>
          <w:p>
            <w:pPr>
              <w:spacing w:before="20"/>
            </w:pPr>
            <w:r>
              <w:rPr>
                <w:color w:val="1E293B"/>
                <w:sz w:val="16"/>
                <w:szCs w:val="16"/>
              </w:rPr>
              <w:t xml:space="preserve">It is respectfully submitted that the Office of the Principal officially endorse and mandate this unified digital platform for all academic intakes, practical evaluations, pre-board assessments, and institutional records. This guarantees absolute record integrity, eliminates paper ledger degradation, saves hundreds of clerical hours, and cements GHSS Shangus’s status as a pioneer in digital education.</w:t>
            </w:r>
          </w:p>
        </w:tc>
      </w:tr>
    </w:tbl>
    <w:p>
      <w:pPr>
        <w:spacing w:before="130"/>
      </w:pPr>
    </w:p>
    <w:tbl>
      <w:tblPr>
        <w:tblW w:type="pct" w:w="100%"/>
        <w:tblBorders>
          <w:top w:val="single" w:color="CBD5E1" w:sz="6"/>
          <w:left w:val="none"/>
          <w:bottom w:val="none"/>
          <w:right w:val="none"/>
          <w:insideH w:val="single" w:color="auto" w:sz="4"/>
          <w:insideV w:val="single" w:color="auto" w:sz="4"/>
        </w:tblBorders>
      </w:tblPr>
      <w:tblGrid>
        <w:gridCol w:w="100"/>
        <w:gridCol w:w="100"/>
        <w:gridCol w:w="100"/>
      </w:tblGrid>
      <w:tr>
        <w:tc>
          <w:tcPr>
            <w:tcW w:type="pct" w:w="33%"/>
            <w:tcMar>
              <w:top w:type="dxa" w:w="120"/>
              <w:left w:type="dxa" w:w="50"/>
              <w:bottom w:type="dxa" w:w="30"/>
              <w:right w:type="dxa" w:w="50"/>
            </w:tcMar>
          </w:tcPr>
          <w:p>
            <w:pPr>
              <w:jc w:val="center"/>
            </w:pPr>
            <w:r>
              <w:t xml:space="preserve">_______________________________</w:t>
            </w:r>
          </w:p>
          <w:p>
            <w:pPr>
              <w:spacing w:before="20"/>
              <w:jc w:val="center"/>
            </w:pPr>
            <w:r>
              <w:rPr>
                <w:b/>
                <w:bCs/>
                <w:color w:val="0F3460"/>
                <w:sz w:val="15"/>
                <w:szCs w:val="15"/>
              </w:rPr>
              <w:t xml:space="preserve">Technical Coordinator</w:t>
            </w:r>
            <w:r>
              <w:rPr>
                <w:color w:val="64748B"/>
                <w:sz w:val="13"/>
                <w:szCs w:val="13"/>
              </w:rPr>
              <w:t xml:space="preserve">
IT &amp; Portal Management Cell</w:t>
            </w:r>
          </w:p>
        </w:tc>
        <w:tc>
          <w:tcPr>
            <w:tcW w:type="pct" w:w="33%"/>
            <w:tcMar>
              <w:top w:type="dxa" w:w="120"/>
              <w:left w:type="dxa" w:w="50"/>
              <w:bottom w:type="dxa" w:w="30"/>
              <w:right w:type="dxa" w:w="50"/>
            </w:tcMar>
          </w:tcPr>
          <w:p>
            <w:pPr>
              <w:jc w:val="center"/>
            </w:pPr>
            <w:r>
              <w:t xml:space="preserve">_______________________________</w:t>
            </w:r>
          </w:p>
          <w:p>
            <w:pPr>
              <w:spacing w:before="20"/>
              <w:jc w:val="center"/>
            </w:pPr>
            <w:r>
              <w:rPr>
                <w:b/>
                <w:bCs/>
                <w:color w:val="0F3460"/>
                <w:sz w:val="15"/>
                <w:szCs w:val="15"/>
              </w:rPr>
              <w:t xml:space="preserve">Examination Incharge</w:t>
            </w:r>
            <w:r>
              <w:rPr>
                <w:color w:val="64748B"/>
                <w:sz w:val="13"/>
                <w:szCs w:val="13"/>
              </w:rPr>
              <w:t xml:space="preserve">
Academic Assessment Cell</w:t>
            </w:r>
          </w:p>
        </w:tc>
        <w:tc>
          <w:tcPr>
            <w:tcW w:type="pct" w:w="34%"/>
            <w:tcMar>
              <w:top w:type="dxa" w:w="120"/>
              <w:left w:type="dxa" w:w="50"/>
              <w:bottom w:type="dxa" w:w="30"/>
              <w:right w:type="dxa" w:w="50"/>
            </w:tcMar>
          </w:tcPr>
          <w:p>
            <w:pPr>
              <w:jc w:val="center"/>
            </w:pPr>
            <w:r>
              <w:t xml:space="preserve">_______________________________</w:t>
            </w:r>
          </w:p>
          <w:p>
            <w:pPr>
              <w:spacing w:before="20"/>
              <w:jc w:val="center"/>
            </w:pPr>
            <w:r>
              <w:rPr>
                <w:b/>
                <w:bCs/>
                <w:color w:val="047857"/>
                <w:sz w:val="15"/>
                <w:szCs w:val="15"/>
              </w:rPr>
              <w:t xml:space="preserve">Principal (Approved &amp; Accepted)</w:t>
            </w:r>
            <w:r>
              <w:rPr>
                <w:color w:val="64748B"/>
                <w:sz w:val="13"/>
                <w:szCs w:val="13"/>
              </w:rPr>
              <w:t xml:space="preserve">
Govt. Higher Secondary School Shangus</w:t>
            </w:r>
          </w:p>
        </w:tc>
      </w:tr>
    </w:tbl>
    <w:sectPr>
      <w:headerReference w:type="default" r:id="rId6"/>
      <w:footerReference w:type="default" r:id="rId7"/>
      <w:pgSz w:w="11906" w:h="16838" w:orient="portrait"/>
      <w:pgMar w:top="600" w:right="700" w:bottom="60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3"/>
        <w:szCs w:val="13"/>
      </w:rPr>
      <w:t xml:space="preserve">Confidential • Office of the Principal • GHSS Shangus</w:t>
    </w:r>
    <w:r>
      <w:rPr>
        <w:color w:val="94A3B8"/>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3"/>
        <w:szCs w:val="13"/>
      </w:rPr>
      <w:t xml:space="preserve">GOVT. HIGHER SECONDARY SCHOOL SHANGUS • EXECUTIVE DOSSIER FOR THE PRINCIPAL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17"/>
        <w:szCs w:val="17"/>
        <w:rFonts w:ascii="Arial" w:cs="Arial" w:eastAsia="Arial" w:hAnsi="Arial"/>
      </w:rPr>
    </w:rPrDefault>
    <w:pPrDefault>
      <w:pPr>
        <w:spacing w:line="200" w:after="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Institutional Dossier for the Principal - GHSS Shangus</dc:title>
  <dc:creator>Technical Architecture &amp; Portal Development Team</dc:creator>
  <dc:description>Tabulated and compact executive dossier: Four-Tier Portals, 20-Year Digitized Admission Register (2006–2026), Master Assessment Gazette with Checkbox Selection, 20 Administrative Modules, Display Controls, and Zero-Latency Performance.</dc:description>
  <cp:lastModifiedBy>Un-named</cp:lastModifiedBy>
  <cp:revision>1</cp:revision>
  <dcterms:created xsi:type="dcterms:W3CDTF">2026-09-19T04:59:33.387Z</dcterms:created>
  <dcterms:modified xsi:type="dcterms:W3CDTF">2026-09-19T04:59:33.388Z</dcterms:modified>
</cp:coreProperties>
</file>

<file path=docProps/custom.xml><?xml version="1.0" encoding="utf-8"?>
<Properties xmlns="http://schemas.openxmlformats.org/officeDocument/2006/custom-properties" xmlns:vt="http://schemas.openxmlformats.org/officeDocument/2006/docPropsVTypes"/>
</file>