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50"/>
        <w:jc w:val="center"/>
      </w:pPr>
      <w:r>
        <w:rPr>
          <w:b/>
          <w:bCs/>
          <w:color w:val="0F3460"/>
          <w:sz w:val="28"/>
          <w:szCs w:val="28"/>
        </w:rPr>
        <w:t xml:space="preserve">GOVERNMENT HIGHER SECONDARY SCHOOL SHANGUS</w:t>
      </w:r>
    </w:p>
    <w:p>
      <w:pPr>
        <w:spacing w:after="120"/>
        <w:jc w:val="center"/>
      </w:pPr>
      <w:r>
        <w:rPr>
          <w:b/>
          <w:bCs/>
          <w:color w:val="475569"/>
          <w:sz w:val="18"/>
          <w:szCs w:val="18"/>
        </w:rPr>
        <w:t xml:space="preserve">Department of School Education, UT of Jammu &amp; Kashmir • Established 1917</w:t>
      </w:r>
    </w:p>
    <w:p>
      <w:pPr>
        <w:spacing w:after="220"/>
        <w:jc w:val="center"/>
      </w:pPr>
      <w:r>
        <w:rPr>
          <w:b/>
          <w:bCs/>
          <w:color w:val="047857"/>
          <w:sz w:val="23"/>
          <w:szCs w:val="23"/>
        </w:rPr>
        <w:t xml:space="preserve">EXECUTIVE INSTITUTIONAL DOSSIER FOR THE RESPECTED PRINCIPAL</w:t>
      </w: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20"/>
              <w:left w:type="dxa" w:w="180"/>
              <w:bottom w:type="dxa" w:w="120"/>
              <w:right w:type="dxa" w:w="180"/>
            </w:tcMar>
          </w:tcPr>
          <w:p>
            <w:r>
              <w:rPr>
                <w:b/>
                <w:bCs/>
                <w:color w:val="065F46"/>
                <w:sz w:val="22"/>
                <w:szCs w:val="22"/>
              </w:rPr>
              <w:t xml:space="preserve">EXECUTIVE SUMMARY &amp; INSTITUTIONAL PURPOSE</w:t>
            </w:r>
          </w:p>
          <w:p>
            <w:pPr>
              <w:spacing w:before="40"/>
            </w:pPr>
            <w:r>
              <w:rPr>
                <w:color w:val="1E293B"/>
                <w:sz w:val="20"/>
                <w:szCs w:val="20"/>
              </w:rPr>
              <w:t xml:space="preserve">This briefing presents the unified four-tier digital ecosystem of Govt. Higher Secondary School Shangus. Seamlessly integrating a Public Online Scorecard Verification Engine, Student Self-Service Portal, Faculty Academic Evaluation Suite, and a 20-Module Administrative Command Center backed by over two decades of digitized historical student ledgers (2006–2026), this platform delivers total institutional sovereignty, zero operational friction, and premier technological prestige to GHSS Shangus.</w:t>
            </w:r>
          </w:p>
        </w:tc>
      </w:tr>
    </w:tbl>
    <w:p>
      <w:pPr>
        <w:spacing w:before="150"/>
      </w:pPr>
    </w:p>
    <w:p>
      <w:pPr>
        <w:pStyle w:val="Heading1"/>
        <w:spacing w:before="260" w:after="100"/>
      </w:pPr>
      <w:r>
        <w:t xml:space="preserve">Strategic Milestones &amp; Recent Platform Breakthroughs</w:t>
      </w:r>
    </w:p>
    <w:tbl>
      <w:tblPr>
        <w:tblW w:type="pct" w:w="100%"/>
        <w:tblBorders>
          <w:top w:val="none"/>
          <w:left w:val="single" w:color="D97706" w:sz="24"/>
          <w:bottom w:val="none"/>
          <w:right w:val="none"/>
          <w:insideH w:val="single" w:color="auto" w:sz="4"/>
          <w:insideV w:val="single" w:color="auto" w:sz="4"/>
        </w:tblBorders>
      </w:tblPr>
      <w:tblGrid>
        <w:gridCol w:w="100"/>
      </w:tblGrid>
      <w:tr>
        <w:tc>
          <w:tcPr>
            <w:shd w:fill="FFFBEB" w:val="clear"/>
            <w:tcMar>
              <w:top w:type="dxa" w:w="120"/>
              <w:left w:type="dxa" w:w="180"/>
              <w:bottom w:type="dxa" w:w="120"/>
              <w:right w:type="dxa" w:w="180"/>
            </w:tcMar>
          </w:tcPr>
          <w:p>
            <w:r>
              <w:rPr>
                <w:b/>
                <w:bCs/>
                <w:color w:val="92400E"/>
                <w:sz w:val="22"/>
                <w:szCs w:val="22"/>
              </w:rPr>
              <w:t xml:space="preserve">★ 20+ YEARS OF HISTORICAL LEDGERS DIGITIZED SINCE 2006 (CLASSES 11th &amp; 12th)</w:t>
            </w:r>
          </w:p>
          <w:p>
            <w:pPr>
              <w:spacing w:before="40"/>
            </w:pPr>
            <w:r>
              <w:rPr>
                <w:color w:val="1E293B"/>
                <w:sz w:val="20"/>
                <w:szCs w:val="20"/>
              </w:rPr>
              <w:t xml:space="preserve">The complete official Admission Register for Classes 11th and 12th has been painstakingly digitized back to 2006. Over two decades of student admissions, parentage, registration numbers, streams, admission dates, and matriculation passout data are now indexed in an instant cloud database, permanently eliminating paper degradation and allowing any past record to be located in under 2 seconds.</w:t>
            </w:r>
          </w:p>
        </w:tc>
      </w:tr>
    </w:tbl>
    <w:p>
      <w:pPr>
        <w:spacing w:before="90"/>
      </w:pPr>
    </w:p>
    <w:p>
      <w:pPr>
        <w:pStyle w:val="ListParagraph"/>
        <w:numPr>
          <w:ilvl w:val="0"/>
          <w:numId w:val="1"/>
        </w:numPr>
        <w:spacing w:before="35" w:after="55"/>
      </w:pPr>
      <w:r>
        <w:rPr>
          <w:b/>
          <w:bCs/>
          <w:color w:val="0F3460"/>
        </w:rPr>
        <w:t xml:space="preserve">Consolidated Master Gazette &amp; Custom Selection Printing: </w:t>
      </w:r>
      <w:r>
        <w:rPr>
          <w:color w:val="334155"/>
        </w:rPr>
        <w:t xml:space="preserve">Automated compilation of school assessment and pre-board examinations across all streams. Features an interactive checkbox selection system that empowers administrators to select specific student cohorts for custom printing or tailored Excel/CSV exports for examiners and JKBOSE reporting.</w:t>
      </w:r>
    </w:p>
    <w:p>
      <w:pPr>
        <w:pStyle w:val="ListParagraph"/>
        <w:numPr>
          <w:ilvl w:val="0"/>
          <w:numId w:val="1"/>
        </w:numPr>
        <w:spacing w:before="35" w:after="55"/>
      </w:pPr>
      <w:r>
        <w:rPr>
          <w:b/>
          <w:bCs/>
          <w:color w:val="0F3460"/>
        </w:rPr>
        <w:t xml:space="preserve">Teacher Evaluation Suite: Privacy Isolation &amp; Direct Print/PDF: </w:t>
      </w:r>
      <w:r>
        <w:rPr>
          <w:color w:val="334155"/>
        </w:rPr>
        <w:t xml:space="preserve">Strict role and submitter isolation ensures teachers only view and manage their own subject/class evaluations in submission history. Teachers can directly print official JKBOSE-compliant Award Rolls and download formatted PDFs straight from their history modal with one click.</w:t>
      </w:r>
    </w:p>
    <w:p>
      <w:pPr>
        <w:pStyle w:val="ListParagraph"/>
        <w:numPr>
          <w:ilvl w:val="0"/>
          <w:numId w:val="1"/>
        </w:numPr>
        <w:spacing w:before="35" w:after="55"/>
      </w:pPr>
      <w:r>
        <w:rPr>
          <w:b/>
          <w:bCs/>
          <w:color w:val="0F3460"/>
        </w:rPr>
        <w:t xml:space="preserve">Canonical Subject Normalization (General English [GE]): </w:t>
      </w:r>
      <w:r>
        <w:rPr>
          <w:color w:val="334155"/>
        </w:rPr>
        <w:t xml:space="preserve">Ambiguous abbreviations like "GE" are automatically normalized to "General English [GE]" across all master gazettes, public result scorecards, and admission ledgers, ensuring 100% board clarity.</w:t>
      </w:r>
    </w:p>
    <w:p>
      <w:pPr>
        <w:pStyle w:val="ListParagraph"/>
        <w:numPr>
          <w:ilvl w:val="0"/>
          <w:numId w:val="1"/>
        </w:numPr>
        <w:spacing w:before="35" w:after="55"/>
      </w:pPr>
      <w:r>
        <w:rPr>
          <w:b/>
          <w:bCs/>
          <w:color w:val="0F3460"/>
        </w:rPr>
        <w:t xml:space="preserve">Zero Total Blocking Time (TBT = 0ms) Performance: </w:t>
      </w:r>
      <w:r>
        <w:rPr>
          <w:color w:val="334155"/>
        </w:rPr>
        <w:t xml:space="preserve">Through on-demand chunk prefetching, keep-alive tabs, and local SWR caching, the platform achieves zero main-thread blocking and sub-100ms transitions, loading even on 2G/3G mobile networks.</w:t>
      </w:r>
    </w:p>
    <w:p>
      <w:pPr>
        <w:spacing w:before="150"/>
      </w:pPr>
    </w:p>
    <w:p>
      <w:pPr>
        <w:pStyle w:val="Heading1"/>
        <w:spacing w:before="260" w:after="100"/>
      </w:pPr>
      <w:r>
        <w:t xml:space="preserve">Three-Tier Interactive Portals Showcase</w:t>
      </w:r>
    </w:p>
    <w:p>
      <w:pPr>
        <w:pStyle w:val="Heading2"/>
        <w:spacing w:before="180" w:after="70"/>
      </w:pPr>
      <w:r>
        <w:t xml:space="preserve">1. Student Self-Service Portal &amp; Digital Document Locker</w:t>
      </w:r>
    </w:p>
    <w:p>
      <w:pPr>
        <w:pStyle w:val="ListParagraph"/>
        <w:numPr>
          <w:ilvl w:val="0"/>
          <w:numId w:val="1"/>
        </w:numPr>
        <w:spacing w:before="35" w:after="55"/>
      </w:pPr>
      <w:r>
        <w:rPr>
          <w:b/>
          <w:bCs/>
          <w:color w:val="0F3460"/>
        </w:rPr>
        <w:t xml:space="preserve">Multi-Class Online Admission Gateway: </w:t>
      </w:r>
      <w:r>
        <w:rPr>
          <w:color w:val="334155"/>
        </w:rPr>
        <w:t xml:space="preserve">Step-by-step application submission for Classes 9, 10, 11, and 12 with dynamic stream combinations and subject rule validation.</w:t>
      </w:r>
    </w:p>
    <w:p>
      <w:pPr>
        <w:pStyle w:val="ListParagraph"/>
        <w:numPr>
          <w:ilvl w:val="0"/>
          <w:numId w:val="1"/>
        </w:numPr>
        <w:spacing w:before="35" w:after="55"/>
      </w:pPr>
      <w:r>
        <w:rPr>
          <w:b/>
          <w:bCs/>
          <w:color w:val="0F3460"/>
        </w:rPr>
        <w:t xml:space="preserve">Real-Time Application Lifecycle Tracking: </w:t>
      </w:r>
      <w:r>
        <w:rPr>
          <w:color w:val="334155"/>
        </w:rPr>
        <w:t xml:space="preserve">Students monitor their exact admission status with prominent badges: Submitted, Under Review, Approved, Provisional, Full Admission, or Roll Number Assigned.</w:t>
      </w:r>
    </w:p>
    <w:p>
      <w:pPr>
        <w:pStyle w:val="ListParagraph"/>
        <w:numPr>
          <w:ilvl w:val="0"/>
          <w:numId w:val="1"/>
        </w:numPr>
        <w:spacing w:before="35" w:after="55"/>
      </w:pPr>
      <w:r>
        <w:rPr>
          <w:b/>
          <w:bCs/>
          <w:color w:val="0F3460"/>
        </w:rPr>
        <w:t xml:space="preserve">Provisional-to-Full Admission Upgrade Engine: </w:t>
      </w:r>
      <w:r>
        <w:rPr>
          <w:color w:val="334155"/>
        </w:rPr>
        <w:t xml:space="preserve">Students admitted provisionally automatically upgrade to Full Admission upon marksheet receipt with zero data re-entry.</w:t>
      </w:r>
    </w:p>
    <w:p>
      <w:pPr>
        <w:pStyle w:val="ListParagraph"/>
        <w:numPr>
          <w:ilvl w:val="0"/>
          <w:numId w:val="1"/>
        </w:numPr>
        <w:spacing w:before="35" w:after="55"/>
      </w:pPr>
      <w:r>
        <w:rPr>
          <w:b/>
          <w:bCs/>
          <w:color w:val="0F3460"/>
        </w:rPr>
        <w:t xml:space="preserve">Digital Document Locker: </w:t>
      </w:r>
      <w:r>
        <w:rPr>
          <w:color w:val="334155"/>
        </w:rPr>
        <w:t xml:space="preserve">Secure uploads and previews for student photographs, marks cards, Aadhaar cards, DOB certificates, category proofs, and bank passbooks with automatic image compression.</w:t>
      </w:r>
    </w:p>
    <w:p>
      <w:pPr>
        <w:pStyle w:val="ListParagraph"/>
        <w:numPr>
          <w:ilvl w:val="0"/>
          <w:numId w:val="1"/>
        </w:numPr>
        <w:spacing w:before="35" w:after="55"/>
      </w:pPr>
      <w:r>
        <w:rPr>
          <w:b/>
          <w:bCs/>
          <w:color w:val="0F3460"/>
        </w:rPr>
        <w:t xml:space="preserve">1-Click Official PDF Confirmation &amp; Fee Receipts: </w:t>
      </w:r>
      <w:r>
        <w:rPr>
          <w:color w:val="334155"/>
        </w:rPr>
        <w:t xml:space="preserve">Generates high-resolution, print-ready Admission Confirmation PDFs and fee receipts with official school seals and cryptographic QR verification.</w:t>
      </w:r>
    </w:p>
    <w:p>
      <w:pPr>
        <w:pStyle w:val="ListParagraph"/>
        <w:numPr>
          <w:ilvl w:val="0"/>
          <w:numId w:val="1"/>
        </w:numPr>
        <w:spacing w:before="35" w:after="55"/>
      </w:pPr>
      <w:r>
        <w:rPr>
          <w:b/>
          <w:bCs/>
          <w:color w:val="0F3460"/>
        </w:rPr>
        <w:t xml:space="preserve">Instant SWR Cache Acceleration: </w:t>
      </w:r>
      <w:r>
        <w:rPr>
          <w:color w:val="334155"/>
        </w:rPr>
        <w:t xml:space="preserve">Subsequent visits load the student dashboard in under 50ms directly from device memory.</w:t>
      </w:r>
    </w:p>
    <w:p>
      <w:pPr>
        <w:pStyle w:val="Heading2"/>
        <w:spacing w:before="180" w:after="70"/>
      </w:pPr>
      <w:r>
        <w:t xml:space="preserve">2. Teacher &amp; Faculty Academic Suite (Internal Marks &amp; Attendance)</w:t>
      </w:r>
    </w:p>
    <w:p>
      <w:pPr>
        <w:pStyle w:val="ListParagraph"/>
        <w:numPr>
          <w:ilvl w:val="0"/>
          <w:numId w:val="1"/>
        </w:numPr>
        <w:spacing w:before="35" w:after="55"/>
      </w:pPr>
      <w:r>
        <w:rPr>
          <w:b/>
          <w:bCs/>
          <w:color w:val="0F3460"/>
        </w:rPr>
        <w:t xml:space="preserve">Faculty Workspace &amp; Assigned Cohorts: </w:t>
      </w:r>
      <w:r>
        <w:rPr>
          <w:color w:val="334155"/>
        </w:rPr>
        <w:t xml:space="preserve">Teachers access an authenticated dashboard pre-mapped to their assigned classes (11th &amp; 12th), streams, and subjects (Physics, Chemistry, Biology, Computer Science, etc.).</w:t>
      </w:r>
    </w:p>
    <w:p>
      <w:pPr>
        <w:pStyle w:val="ListParagraph"/>
        <w:numPr>
          <w:ilvl w:val="0"/>
          <w:numId w:val="1"/>
        </w:numPr>
        <w:spacing w:before="35" w:after="55"/>
      </w:pPr>
      <w:r>
        <w:rPr>
          <w:b/>
          <w:bCs/>
          <w:color w:val="0F3460"/>
        </w:rPr>
        <w:t xml:space="preserve">Practical &amp; Internal Assessment Marks Engine: </w:t>
      </w:r>
      <w:r>
        <w:rPr>
          <w:color w:val="334155"/>
        </w:rPr>
        <w:t xml:space="preserve">Interactive marks entry table pre-populated with enrolled students. Features real-time score ceiling validation (e.g. max 20, max 30) to eliminate clerical over-scoring errors.</w:t>
      </w:r>
    </w:p>
    <w:p>
      <w:pPr>
        <w:pStyle w:val="ListParagraph"/>
        <w:numPr>
          <w:ilvl w:val="0"/>
          <w:numId w:val="1"/>
        </w:numPr>
        <w:spacing w:before="35" w:after="55"/>
      </w:pPr>
      <w:r>
        <w:rPr>
          <w:b/>
          <w:bCs/>
          <w:color w:val="0F3460"/>
        </w:rPr>
        <w:t xml:space="preserve">Autosave &amp; Draft Protection: </w:t>
      </w:r>
      <w:r>
        <w:rPr>
          <w:color w:val="334155"/>
        </w:rPr>
        <w:t xml:space="preserve">Automatic background saving protects faculty work against power cuts or cellular dropouts in rural areas, allowing teachers to resume anytime.</w:t>
      </w:r>
    </w:p>
    <w:p>
      <w:pPr>
        <w:pStyle w:val="ListParagraph"/>
        <w:numPr>
          <w:ilvl w:val="0"/>
          <w:numId w:val="1"/>
        </w:numPr>
        <w:spacing w:before="35" w:after="55"/>
      </w:pPr>
      <w:r>
        <w:rPr>
          <w:b/>
          <w:bCs/>
          <w:color w:val="0F3460"/>
        </w:rPr>
        <w:t xml:space="preserve">Dual-Format Official Award Rolls (.docx &amp; PDF): </w:t>
      </w:r>
      <w:r>
        <w:rPr>
          <w:color w:val="334155"/>
        </w:rPr>
        <w:t xml:space="preserve">One-click generation of official Two-Column Attendance Rosters and Award Rolls in both native Word (.docx) and high-resolution PDF with official school headers, dates, and examiner signature blocks.</w:t>
      </w:r>
    </w:p>
    <w:p>
      <w:pPr>
        <w:pStyle w:val="ListParagraph"/>
        <w:numPr>
          <w:ilvl w:val="0"/>
          <w:numId w:val="1"/>
        </w:numPr>
        <w:spacing w:before="35" w:after="55"/>
      </w:pPr>
      <w:r>
        <w:rPr>
          <w:b/>
          <w:bCs/>
          <w:color w:val="0F3460"/>
        </w:rPr>
        <w:t xml:space="preserve">Isolated Submission History &amp; Direct Print/PDF: </w:t>
      </w:r>
      <w:r>
        <w:rPr>
          <w:color w:val="334155"/>
        </w:rPr>
        <w:t xml:space="preserve">Teachers view only their own submissions in their history modal, with direct 1-click print and PDF download buttons for instant paper records.</w:t>
      </w:r>
    </w:p>
    <w:p>
      <w:pPr>
        <w:pStyle w:val="ListParagraph"/>
        <w:numPr>
          <w:ilvl w:val="0"/>
          <w:numId w:val="1"/>
        </w:numPr>
        <w:spacing w:before="35" w:after="55"/>
      </w:pPr>
      <w:r>
        <w:rPr>
          <w:b/>
          <w:bCs/>
          <w:color w:val="0F3460"/>
        </w:rPr>
        <w:t xml:space="preserve">Digital Daily Attendance &amp; Shortage Flagging: </w:t>
      </w:r>
      <w:r>
        <w:rPr>
          <w:color w:val="334155"/>
        </w:rPr>
        <w:t xml:space="preserve">Period-wise and daily attendance marking with 1-click "Mark All Present" toggle and automated alerts for students falling below the 75% board threshold.</w:t>
      </w:r>
    </w:p>
    <w:p>
      <w:pPr>
        <w:pStyle w:val="Heading2"/>
        <w:spacing w:before="180" w:after="70"/>
      </w:pPr>
      <w:r>
        <w:t xml:space="preserve">3. Public Student Result &amp; Scorecard Verification Engine</w:t>
      </w:r>
    </w:p>
    <w:p>
      <w:pPr>
        <w:pStyle w:val="ListParagraph"/>
        <w:numPr>
          <w:ilvl w:val="0"/>
          <w:numId w:val="1"/>
        </w:numPr>
        <w:spacing w:before="35" w:after="55"/>
      </w:pPr>
      <w:r>
        <w:rPr>
          <w:b/>
          <w:bCs/>
          <w:color w:val="0F3460"/>
        </w:rPr>
        <w:t xml:space="preserve">Instant Roll Number &amp; Registration Lookup: </w:t>
      </w:r>
      <w:r>
        <w:rPr>
          <w:color w:val="334155"/>
        </w:rPr>
        <w:t xml:space="preserve">Students, parents, and higher education institutions can verify examination and pre-board results instantly using Roll Numbers or Registration IDs.</w:t>
      </w:r>
    </w:p>
    <w:p>
      <w:pPr>
        <w:pStyle w:val="ListParagraph"/>
        <w:numPr>
          <w:ilvl w:val="0"/>
          <w:numId w:val="1"/>
        </w:numPr>
        <w:spacing w:before="35" w:after="55"/>
      </w:pPr>
      <w:r>
        <w:rPr>
          <w:b/>
          <w:bCs/>
          <w:color w:val="0F3460"/>
        </w:rPr>
        <w:t xml:space="preserve">Tamper-Evident Printable Digital Scorecards: </w:t>
      </w:r>
      <w:r>
        <w:rPr>
          <w:color w:val="334155"/>
        </w:rPr>
        <w:t xml:space="preserve">Generates high-fidelity scorecards featuring official school crest, watermark, subject-wise marks breakdown, total marks, percentage, and result status.</w:t>
      </w:r>
    </w:p>
    <w:p>
      <w:pPr>
        <w:pStyle w:val="ListParagraph"/>
        <w:numPr>
          <w:ilvl w:val="0"/>
          <w:numId w:val="1"/>
        </w:numPr>
        <w:spacing w:before="35" w:after="55"/>
      </w:pPr>
      <w:r>
        <w:rPr>
          <w:b/>
          <w:bCs/>
          <w:color w:val="0F3460"/>
        </w:rPr>
        <w:t xml:space="preserve">Permanent Sticky Navigation (Navbar): </w:t>
      </w:r>
      <w:r>
        <w:rPr>
          <w:color w:val="334155"/>
        </w:rPr>
        <w:t xml:space="preserve">Rock-solid navigation header with persistent visibility across all mobile and desktop viewports, dark/light theme toggle, and fast portal switching.</w:t>
      </w:r>
    </w:p>
    <w:p>
      <w:pPr>
        <w:spacing w:before="150"/>
      </w:pPr>
    </w:p>
    <w:p>
      <w:pPr>
        <w:pStyle w:val="Heading1"/>
        <w:spacing w:before="260" w:after="100"/>
      </w:pPr>
      <w:r>
        <w:t xml:space="preserve">Academic Assessment &amp; Consolidated Master Gazette Hub</w:t>
      </w:r>
    </w:p>
    <w:p>
      <w:r>
        <w:rPr>
          <w:color w:val="334155"/>
        </w:rPr>
        <w:t xml:space="preserve">The Examination Cell commands a centralized assessment engine specifically engineered for Class 11th &amp; 12th Golden Test and Pre-Board examinations:</w:t>
      </w:r>
    </w:p>
    <w:p>
      <w:pPr>
        <w:pStyle w:val="ListParagraph"/>
        <w:numPr>
          <w:ilvl w:val="0"/>
          <w:numId w:val="1"/>
        </w:numPr>
        <w:spacing w:before="35" w:after="55"/>
      </w:pPr>
      <w:r>
        <w:rPr>
          <w:b/>
          <w:bCs/>
          <w:color w:val="0F3460"/>
        </w:rPr>
        <w:t xml:space="preserve">Multi-Stream Consolidated Assessment Ledger: </w:t>
      </w:r>
      <w:r>
        <w:rPr>
          <w:color w:val="334155"/>
        </w:rPr>
        <w:t xml:space="preserve">Automatically compiles practical, internal assessment, and theoretical marks across Medical, Non-Medical, Arts/Humanities, and Commerce cohorts into a unified master gazette.</w:t>
      </w:r>
    </w:p>
    <w:p>
      <w:pPr>
        <w:pStyle w:val="ListParagraph"/>
        <w:numPr>
          <w:ilvl w:val="0"/>
          <w:numId w:val="1"/>
        </w:numPr>
        <w:spacing w:before="35" w:after="55"/>
      </w:pPr>
      <w:r>
        <w:rPr>
          <w:b/>
          <w:bCs/>
          <w:color w:val="0F3460"/>
        </w:rPr>
        <w:t xml:space="preserve">Custom Checkbox Selection for Printing &amp; Export: </w:t>
      </w:r>
      <w:r>
        <w:rPr>
          <w:color w:val="334155"/>
        </w:rPr>
        <w:t xml:space="preserve">Administrators can select individual students or specific cohorts via interactive checkboxes, enabling tailored printing of gazettes for examiners or selective export to Excel/CSV for board submission.</w:t>
      </w:r>
    </w:p>
    <w:p>
      <w:pPr>
        <w:pStyle w:val="ListParagraph"/>
        <w:numPr>
          <w:ilvl w:val="0"/>
          <w:numId w:val="1"/>
        </w:numPr>
        <w:spacing w:before="35" w:after="55"/>
      </w:pPr>
      <w:r>
        <w:rPr>
          <w:b/>
          <w:bCs/>
          <w:color w:val="0F3460"/>
        </w:rPr>
        <w:t xml:space="preserve">Dynamic 50M Score Scaling &amp; Absent Tracking: </w:t>
      </w:r>
      <w:r>
        <w:rPr>
          <w:color w:val="334155"/>
        </w:rPr>
        <w:t xml:space="preserve">Supports transparent scaling between 50-mark pre-board scales and standard board maximums, with clear status indicators for present, absent, or exempted candidates.</w:t>
      </w:r>
    </w:p>
    <w:p>
      <w:pPr>
        <w:pStyle w:val="ListParagraph"/>
        <w:numPr>
          <w:ilvl w:val="0"/>
          <w:numId w:val="1"/>
        </w:numPr>
        <w:spacing w:before="35" w:after="55"/>
      </w:pPr>
      <w:r>
        <w:rPr>
          <w:b/>
          <w:bCs/>
          <w:color w:val="0F3460"/>
        </w:rPr>
        <w:t xml:space="preserve">Authoritative Latest Evaluation Prioritization: </w:t>
      </w:r>
      <w:r>
        <w:rPr>
          <w:color w:val="334155"/>
        </w:rPr>
        <w:t xml:space="preserve">Archived evaluation records are cleanly segregated, ensuring that latest resubmitted scores and verified absent evaluations are immediately reflected without discrepancies.</w:t>
      </w:r>
    </w:p>
    <w:p>
      <w:pPr>
        <w:spacing w:before="150"/>
      </w:pPr>
    </w:p>
    <w:p>
      <w:pPr>
        <w:pStyle w:val="Heading1"/>
        <w:spacing w:before="260" w:after="100"/>
      </w:pPr>
      <w:r>
        <w:t xml:space="preserve">Classified Directory of 20 Administrative Command Modules</w:t>
      </w:r>
    </w:p>
    <w:p>
      <w:pPr>
        <w:pStyle w:val="Heading2"/>
        <w:spacing w:before="180" w:after="70"/>
      </w:pPr>
      <w:r>
        <w:t xml:space="preserve">Division I: Records &amp; Registers (7 Specialized Tools)</w:t>
      </w:r>
    </w:p>
    <w:p>
      <w:pPr>
        <w:pStyle w:val="ListParagraph"/>
        <w:numPr>
          <w:ilvl w:val="0"/>
          <w:numId w:val="1"/>
        </w:numPr>
        <w:spacing w:before="35" w:after="55"/>
      </w:pPr>
      <w:r>
        <w:rPr>
          <w:b/>
          <w:bCs/>
          <w:color w:val="0F3460"/>
        </w:rPr>
        <w:t xml:space="preserve">1. Student Records &amp; Reports: </w:t>
      </w:r>
      <w:r>
        <w:rPr>
          <w:color w:val="334155"/>
        </w:rPr>
        <w:t xml:space="preserve">Centralized student master register with multi-criteria filtering (class, stream, session, gender, category), approval workflows, individual student dossiers, and one-click data audits.</w:t>
      </w:r>
    </w:p>
    <w:p>
      <w:pPr>
        <w:pStyle w:val="ListParagraph"/>
        <w:numPr>
          <w:ilvl w:val="0"/>
          <w:numId w:val="1"/>
        </w:numPr>
        <w:spacing w:before="35" w:after="55"/>
      </w:pPr>
      <w:r>
        <w:rPr>
          <w:b/>
          <w:bCs/>
          <w:color w:val="0F3460"/>
        </w:rPr>
        <w:t xml:space="preserve">2. Admission Register &amp; Sent-up Suite (2006–2026): </w:t>
      </w:r>
      <w:r>
        <w:rPr>
          <w:color w:val="334155"/>
        </w:rPr>
        <w:t xml:space="preserve">Direct digital replica of the official school admission ledger and JKBOSE sent-up roll. Tracks admission serial numbers, enrollment dates, board registration numbers, and matriculation passout details with instant cloud lookups.</w:t>
      </w:r>
    </w:p>
    <w:p>
      <w:pPr>
        <w:pStyle w:val="ListParagraph"/>
        <w:numPr>
          <w:ilvl w:val="0"/>
          <w:numId w:val="1"/>
        </w:numPr>
        <w:spacing w:before="35" w:after="55"/>
      </w:pPr>
      <w:r>
        <w:rPr>
          <w:b/>
          <w:bCs/>
          <w:color w:val="0F3460"/>
        </w:rPr>
        <w:t xml:space="preserve">3. Student Rosters &amp; Registers: </w:t>
      </w:r>
      <w:r>
        <w:rPr>
          <w:color w:val="334155"/>
        </w:rPr>
        <w:t xml:space="preserve">Generates customizable tabular registers, roll call sheets, fee collection ledgers, and examination attendance rosters with customizable column layouts.</w:t>
      </w:r>
    </w:p>
    <w:p>
      <w:pPr>
        <w:pStyle w:val="ListParagraph"/>
        <w:numPr>
          <w:ilvl w:val="0"/>
          <w:numId w:val="1"/>
        </w:numPr>
        <w:spacing w:before="35" w:after="55"/>
      </w:pPr>
      <w:r>
        <w:rPr>
          <w:b/>
          <w:bCs/>
          <w:color w:val="0F3460"/>
        </w:rPr>
        <w:t xml:space="preserve">4. Official Letterhead Writer: </w:t>
      </w:r>
      <w:r>
        <w:rPr>
          <w:color w:val="334155"/>
        </w:rPr>
        <w:t xml:space="preserve">Built-in document composer with Gemini AI drafting assistance, auto-saving drafts, authenticated institutional letterheads, and an immutable dispatch history.</w:t>
      </w:r>
    </w:p>
    <w:p>
      <w:pPr>
        <w:pStyle w:val="ListParagraph"/>
        <w:numPr>
          <w:ilvl w:val="0"/>
          <w:numId w:val="1"/>
        </w:numPr>
        <w:spacing w:before="35" w:after="55"/>
      </w:pPr>
      <w:r>
        <w:rPr>
          <w:b/>
          <w:bCs/>
          <w:color w:val="0F3460"/>
        </w:rPr>
        <w:t xml:space="preserve">5. Student Bonafides &amp; Certificates: </w:t>
      </w:r>
      <w:r>
        <w:rPr>
          <w:color w:val="334155"/>
        </w:rPr>
        <w:t xml:space="preserve">One-click generator for Bonafide, Character, DOB, and Transfer Certificates with cryptographic anti-tamper QR codes and sequential serial sequences.</w:t>
      </w:r>
    </w:p>
    <w:p>
      <w:pPr>
        <w:pStyle w:val="ListParagraph"/>
        <w:numPr>
          <w:ilvl w:val="0"/>
          <w:numId w:val="1"/>
        </w:numPr>
        <w:spacing w:before="35" w:after="55"/>
      </w:pPr>
      <w:r>
        <w:rPr>
          <w:b/>
          <w:bCs/>
          <w:color w:val="0F3460"/>
        </w:rPr>
        <w:t xml:space="preserve">6. Student ID Card Studio: </w:t>
      </w:r>
      <w:r>
        <w:rPr>
          <w:color w:val="334155"/>
        </w:rPr>
        <w:t xml:space="preserve">High-throughput identity card synthesis engine. Filters cohorts, resolves student photos, and compiles printable grids of barcode/QR-enabled student ID cards ready for PVC or laminated printing.</w:t>
      </w:r>
    </w:p>
    <w:p>
      <w:pPr>
        <w:pStyle w:val="ListParagraph"/>
        <w:numPr>
          <w:ilvl w:val="0"/>
          <w:numId w:val="1"/>
        </w:numPr>
        <w:spacing w:before="35" w:after="55"/>
      </w:pPr>
      <w:r>
        <w:rPr>
          <w:b/>
          <w:bCs/>
          <w:color w:val="0F3460"/>
        </w:rPr>
        <w:t xml:space="preserve">7. Competitive Exams &amp; OMR Suite: </w:t>
      </w:r>
      <w:r>
        <w:rPr>
          <w:color w:val="334155"/>
        </w:rPr>
        <w:t xml:space="preserve">End-to-end hub for organizing institutional screening exams, scholarship tests, and entrance mocks. Manages registrations, admit cards, and OMR evaluation.</w:t>
      </w:r>
    </w:p>
    <w:p>
      <w:pPr>
        <w:pStyle w:val="Heading2"/>
        <w:spacing w:before="180" w:after="70"/>
      </w:pPr>
      <w:r>
        <w:t xml:space="preserve">Division II: Academics &amp; Controls (4 Core Tools)</w:t>
      </w:r>
    </w:p>
    <w:p>
      <w:pPr>
        <w:pStyle w:val="ListParagraph"/>
        <w:numPr>
          <w:ilvl w:val="0"/>
          <w:numId w:val="1"/>
        </w:numPr>
        <w:spacing w:before="35" w:after="55"/>
      </w:pPr>
      <w:r>
        <w:rPr>
          <w:b/>
          <w:bCs/>
          <w:color w:val="0F3460"/>
        </w:rPr>
        <w:t xml:space="preserve">8. Academic Controls &amp; Institution Rules: </w:t>
      </w:r>
      <w:r>
        <w:rPr>
          <w:color w:val="334155"/>
        </w:rPr>
        <w:t xml:space="preserve">Master administration console to configure academic sessions, toggle online admission windows, set intake caps per stream, and define institutional policy parameters.</w:t>
      </w:r>
    </w:p>
    <w:p>
      <w:pPr>
        <w:pStyle w:val="ListParagraph"/>
        <w:numPr>
          <w:ilvl w:val="0"/>
          <w:numId w:val="1"/>
        </w:numPr>
        <w:spacing w:before="35" w:after="55"/>
      </w:pPr>
      <w:r>
        <w:rPr>
          <w:b/>
          <w:bCs/>
          <w:color w:val="0F3460"/>
        </w:rPr>
        <w:t xml:space="preserve">9. Practicals &amp; Award Rolls Engine: </w:t>
      </w:r>
      <w:r>
        <w:rPr>
          <w:color w:val="334155"/>
        </w:rPr>
        <w:t xml:space="preserve">Consolidates internal and practical marks across all science, computer, and vocational departments, enforcing locking safeguards and board-compliant rosters.</w:t>
      </w:r>
    </w:p>
    <w:p>
      <w:pPr>
        <w:pStyle w:val="ListParagraph"/>
        <w:numPr>
          <w:ilvl w:val="0"/>
          <w:numId w:val="1"/>
        </w:numPr>
        <w:spacing w:before="35" w:after="55"/>
      </w:pPr>
      <w:r>
        <w:rPr>
          <w:b/>
          <w:bCs/>
          <w:color w:val="0F3460"/>
        </w:rPr>
        <w:t xml:space="preserve">10. Student Attendance Management: </w:t>
      </w:r>
      <w:r>
        <w:rPr>
          <w:color w:val="334155"/>
        </w:rPr>
        <w:t xml:space="preserve">School-wide attendance analytics, section-wise aggregate tracking, shortage monitoring, and parent notification integration.</w:t>
      </w:r>
    </w:p>
    <w:p>
      <w:pPr>
        <w:pStyle w:val="ListParagraph"/>
        <w:numPr>
          <w:ilvl w:val="0"/>
          <w:numId w:val="1"/>
        </w:numPr>
        <w:spacing w:before="35" w:after="55"/>
      </w:pPr>
      <w:r>
        <w:rPr>
          <w:b/>
          <w:bCs/>
          <w:color w:val="0F3460"/>
        </w:rPr>
        <w:t xml:space="preserve">11. Class Roll Number Manager: </w:t>
      </w:r>
      <w:r>
        <w:rPr>
          <w:color w:val="334155"/>
        </w:rPr>
        <w:t xml:space="preserve">Automated sequential roll number assigner. Eliminates manual bookkeeping by auto-generating roll numbers by stream, class, or alphabet with conflict-free collision prevention.</w:t>
      </w:r>
    </w:p>
    <w:p>
      <w:pPr>
        <w:pStyle w:val="Heading2"/>
        <w:spacing w:before="180" w:after="70"/>
      </w:pPr>
      <w:r>
        <w:t xml:space="preserve">Division III: Operations, Accounts &amp; Automation (5 Tools)</w:t>
      </w:r>
    </w:p>
    <w:p>
      <w:pPr>
        <w:pStyle w:val="ListParagraph"/>
        <w:numPr>
          <w:ilvl w:val="0"/>
          <w:numId w:val="1"/>
        </w:numPr>
        <w:spacing w:before="35" w:after="55"/>
      </w:pPr>
      <w:r>
        <w:rPr>
          <w:b/>
          <w:bCs/>
          <w:color w:val="0F3460"/>
        </w:rPr>
        <w:t xml:space="preserve">12. Application Merge &amp; Deduplication (Merge Studio): </w:t>
      </w:r>
      <w:r>
        <w:rPr>
          <w:color w:val="334155"/>
        </w:rPr>
        <w:t xml:space="preserve">Algorithmic identity deduplication engine using Disjoint-Set Union (DSU) clustering. Automatically detects duplicate online applications submitted by the same student and merges them safely while preserving previous drafts in the Recycle Bin.</w:t>
      </w:r>
    </w:p>
    <w:p>
      <w:pPr>
        <w:pStyle w:val="ListParagraph"/>
        <w:numPr>
          <w:ilvl w:val="0"/>
          <w:numId w:val="1"/>
        </w:numPr>
        <w:spacing w:before="35" w:after="55"/>
      </w:pPr>
      <w:r>
        <w:rPr>
          <w:b/>
          <w:bCs/>
          <w:color w:val="0F3460"/>
        </w:rPr>
        <w:t xml:space="preserve">13. Communications &amp; Automations: </w:t>
      </w:r>
      <w:r>
        <w:rPr>
          <w:color w:val="334155"/>
        </w:rPr>
        <w:t xml:space="preserve">Targeted group email &amp; SMS broadcast composer with rich-text formatting, recipient micro-filtering by stream/class, test-flight previews, and delivery logs.</w:t>
      </w:r>
    </w:p>
    <w:p>
      <w:pPr>
        <w:pStyle w:val="ListParagraph"/>
        <w:numPr>
          <w:ilvl w:val="0"/>
          <w:numId w:val="1"/>
        </w:numPr>
        <w:spacing w:before="35" w:after="55"/>
      </w:pPr>
      <w:r>
        <w:rPr>
          <w:b/>
          <w:bCs/>
          <w:color w:val="0F3460"/>
        </w:rPr>
        <w:t xml:space="preserve">14. Funds, Fee Accounts &amp; Staff Income Tax Suite: </w:t>
      </w:r>
      <w:r>
        <w:rPr>
          <w:color w:val="334155"/>
        </w:rPr>
        <w:t xml:space="preserve">Reconciles admission fees, school funds, and lab charges with student ledgers. Features an integrated staff salary register and dual-regime (Old vs New) income tax calculation engine.</w:t>
      </w:r>
    </w:p>
    <w:p>
      <w:pPr>
        <w:pStyle w:val="ListParagraph"/>
        <w:numPr>
          <w:ilvl w:val="0"/>
          <w:numId w:val="1"/>
        </w:numPr>
        <w:spacing w:before="35" w:after="55"/>
      </w:pPr>
      <w:r>
        <w:rPr>
          <w:b/>
          <w:bCs/>
          <w:color w:val="0F3460"/>
        </w:rPr>
        <w:t xml:space="preserve">15. Dynamic Website CMS &amp; Administration: </w:t>
      </w:r>
      <w:r>
        <w:rPr>
          <w:color w:val="334155"/>
        </w:rPr>
        <w:t xml:space="preserve">Content management system for public school website notices, news ticker, photo gallery slides, faculty directory, and announcements in real time.</w:t>
      </w:r>
    </w:p>
    <w:p>
      <w:pPr>
        <w:pStyle w:val="ListParagraph"/>
        <w:numPr>
          <w:ilvl w:val="0"/>
          <w:numId w:val="1"/>
        </w:numPr>
        <w:spacing w:before="35" w:after="55"/>
      </w:pPr>
      <w:r>
        <w:rPr>
          <w:b/>
          <w:bCs/>
          <w:color w:val="0F3460"/>
        </w:rPr>
        <w:t xml:space="preserve">16. Board Data Sync (JKBOSE): </w:t>
      </w:r>
      <w:r>
        <w:rPr>
          <w:color w:val="334155"/>
        </w:rPr>
        <w:t xml:space="preserve">Automated reconciliation bridge with official JKBOSE databases. Cross-references student particulars with official board registration data, updating records with 30-day rollback memory.</w:t>
      </w:r>
    </w:p>
    <w:p>
      <w:pPr>
        <w:pStyle w:val="Heading2"/>
        <w:spacing w:before="180" w:after="70"/>
      </w:pPr>
      <w:r>
        <w:t xml:space="preserve">Division IV: Quick Actions &amp; Productivity Utilities (4 Tools)</w:t>
      </w:r>
    </w:p>
    <w:p>
      <w:pPr>
        <w:pStyle w:val="ListParagraph"/>
        <w:numPr>
          <w:ilvl w:val="0"/>
          <w:numId w:val="1"/>
        </w:numPr>
        <w:spacing w:before="35" w:after="55"/>
      </w:pPr>
      <w:r>
        <w:rPr>
          <w:b/>
          <w:bCs/>
          <w:color w:val="0F3460"/>
        </w:rPr>
        <w:t xml:space="preserve">17. Quick Cell Edit Hover: </w:t>
      </w:r>
      <w:r>
        <w:rPr>
          <w:color w:val="334155"/>
        </w:rPr>
        <w:t xml:space="preserve">Instant inline editing capability allowing administrators to correct student data directly inside table rows with single-click auto-saving, without opening full forms.</w:t>
      </w:r>
    </w:p>
    <w:p>
      <w:pPr>
        <w:pStyle w:val="ListParagraph"/>
        <w:numPr>
          <w:ilvl w:val="0"/>
          <w:numId w:val="1"/>
        </w:numPr>
        <w:spacing w:before="35" w:after="55"/>
      </w:pPr>
      <w:r>
        <w:rPr>
          <w:b/>
          <w:bCs/>
          <w:color w:val="0F3460"/>
        </w:rPr>
        <w:t xml:space="preserve">18. Analytics &amp; Demographic Reports: </w:t>
      </w:r>
      <w:r>
        <w:rPr>
          <w:color w:val="334155"/>
        </w:rPr>
        <w:t xml:space="preserve">Executive dashboard providing visual breakdown of gender parity ratios, stream-wise enrollment distributions, category representations (RBA, SC, ST, OSC), and annual intake comparisons.</w:t>
      </w:r>
    </w:p>
    <w:p>
      <w:pPr>
        <w:pStyle w:val="ListParagraph"/>
        <w:numPr>
          <w:ilvl w:val="0"/>
          <w:numId w:val="1"/>
        </w:numPr>
        <w:spacing w:before="35" w:after="55"/>
      </w:pPr>
      <w:r>
        <w:rPr>
          <w:b/>
          <w:bCs/>
          <w:color w:val="0F3460"/>
        </w:rPr>
        <w:t xml:space="preserve">19. Express Direct Record Entry: </w:t>
      </w:r>
      <w:r>
        <w:rPr>
          <w:color w:val="334155"/>
        </w:rPr>
        <w:t xml:space="preserve">High-speed single-window intake form for on-the-spot walk-in admissions, immediately generating registration numbers and fee receipts.</w:t>
      </w:r>
    </w:p>
    <w:p>
      <w:pPr>
        <w:pStyle w:val="ListParagraph"/>
        <w:numPr>
          <w:ilvl w:val="0"/>
          <w:numId w:val="1"/>
        </w:numPr>
        <w:spacing w:before="35" w:after="55"/>
      </w:pPr>
      <w:r>
        <w:rPr>
          <w:b/>
          <w:bCs/>
          <w:color w:val="0F3460"/>
        </w:rPr>
        <w:t xml:space="preserve">20. Centralized Multi-Session Excel Backup &amp; Photo Resolver: </w:t>
      </w:r>
      <w:r>
        <w:rPr>
          <w:color w:val="334155"/>
        </w:rPr>
        <w:t xml:space="preserve">Centralized multi-session exporter (2006–2026) with checkbox selection, live cloud photo resolution, and multi-sheet master database backup.</w:t>
      </w:r>
    </w:p>
    <w:p>
      <w:pPr>
        <w:spacing w:before="150"/>
      </w:pPr>
    </w:p>
    <w:p>
      <w:pPr>
        <w:pStyle w:val="Heading1"/>
        <w:spacing w:before="260" w:after="100"/>
      </w:pPr>
      <w:r>
        <w:t xml:space="preserve">Advanced Display Controls, Data Safety &amp; 90-Day Recycle Bin</w:t>
      </w:r>
    </w:p>
    <w:p>
      <w:pPr>
        <w:pStyle w:val="ListParagraph"/>
        <w:numPr>
          <w:ilvl w:val="0"/>
          <w:numId w:val="1"/>
        </w:numPr>
        <w:spacing w:before="35" w:after="55"/>
      </w:pPr>
      <w:r>
        <w:rPr>
          <w:b/>
          <w:bCs/>
          <w:color w:val="0F3460"/>
        </w:rPr>
        <w:t xml:space="preserve">Multi-Density Table Display (Fit / Compact / Normal): </w:t>
      </w:r>
      <w:r>
        <w:rPr>
          <w:color w:val="334155"/>
        </w:rPr>
        <w:t xml:space="preserve">Enables administrative staff to adjust screen data density. "Compact" and "Fit" modes display 100+ student rows on standard office monitors simultaneously without excessive vertical scrolling.</w:t>
      </w:r>
    </w:p>
    <w:p>
      <w:pPr>
        <w:pStyle w:val="ListParagraph"/>
        <w:numPr>
          <w:ilvl w:val="0"/>
          <w:numId w:val="1"/>
        </w:numPr>
        <w:spacing w:before="35" w:after="55"/>
      </w:pPr>
      <w:r>
        <w:rPr>
          <w:b/>
          <w:bCs/>
          <w:color w:val="0F3460"/>
        </w:rPr>
        <w:t xml:space="preserve">Manage Table Columns (Custom Column Views): </w:t>
      </w:r>
      <w:r>
        <w:rPr>
          <w:color w:val="334155"/>
        </w:rPr>
        <w:t xml:space="preserve">Allows administrators to toggle any column (Aadhaar, Parentage, Blood Group, Stream, Roll No, Fees) on or off, generating tailored printouts or exports in seconds.</w:t>
      </w:r>
    </w:p>
    <w:p>
      <w:pPr>
        <w:pStyle w:val="ListParagraph"/>
        <w:numPr>
          <w:ilvl w:val="0"/>
          <w:numId w:val="1"/>
        </w:numPr>
        <w:spacing w:before="35" w:after="55"/>
      </w:pPr>
      <w:r>
        <w:rPr>
          <w:b/>
          <w:bCs/>
          <w:color w:val="0F3460"/>
        </w:rPr>
        <w:t xml:space="preserve">90-Day Protected Recycle Bin: </w:t>
      </w:r>
      <w:r>
        <w:rPr>
          <w:color w:val="334155"/>
        </w:rPr>
        <w:t xml:space="preserve">Enterprise safety net that quarantines deleted records and overwritten drafts for 90 days. Accidental deletions can be restored with a single click, completely eliminating data loss.</w:t>
      </w:r>
    </w:p>
    <w:p>
      <w:pPr>
        <w:pStyle w:val="ListParagraph"/>
        <w:numPr>
          <w:ilvl w:val="0"/>
          <w:numId w:val="1"/>
        </w:numPr>
        <w:spacing w:before="35" w:after="55"/>
      </w:pPr>
      <w:r>
        <w:rPr>
          <w:b/>
          <w:bCs/>
          <w:color w:val="0F3460"/>
        </w:rPr>
        <w:t xml:space="preserve">Universal High-Contrast Guided Tooltips: </w:t>
      </w:r>
      <w:r>
        <w:rPr>
          <w:color w:val="334155"/>
        </w:rPr>
        <w:t xml:space="preserve">System-wide interactive micro-tooltips across all buttons, status badges, and table headers, guiding staff members without requiring formal training.</w:t>
      </w:r>
    </w:p>
    <w:p>
      <w:pPr>
        <w:pStyle w:val="ListParagraph"/>
        <w:numPr>
          <w:ilvl w:val="0"/>
          <w:numId w:val="1"/>
        </w:numPr>
        <w:spacing w:before="35" w:after="55"/>
      </w:pPr>
      <w:r>
        <w:rPr>
          <w:b/>
          <w:bCs/>
          <w:color w:val="0F3460"/>
        </w:rPr>
        <w:t xml:space="preserve">Real-Time Force Sync Engine: </w:t>
      </w:r>
      <w:r>
        <w:rPr>
          <w:color w:val="334155"/>
        </w:rPr>
        <w:t xml:space="preserve">Invalidates client cache and pulls live updates directly from Google Cloud Firestore, ensuring instant data synchronization across multiple school computers.</w:t>
      </w:r>
    </w:p>
    <w:p>
      <w:pPr>
        <w:spacing w:before="150"/>
      </w:pPr>
    </w:p>
    <w:p>
      <w:pPr>
        <w:pStyle w:val="Heading1"/>
        <w:spacing w:before="260" w:after="100"/>
      </w:pPr>
      <w:r>
        <w:t xml:space="preserve">Institutional Security, Speed Benchmarks &amp; Strategic Value</w:t>
      </w:r>
    </w:p>
    <w:p>
      <w:pPr>
        <w:pStyle w:val="ListParagraph"/>
        <w:numPr>
          <w:ilvl w:val="0"/>
          <w:numId w:val="1"/>
        </w:numPr>
        <w:spacing w:before="35" w:after="55"/>
      </w:pPr>
      <w:r>
        <w:rPr>
          <w:b/>
          <w:bCs/>
          <w:color w:val="0F3460"/>
        </w:rPr>
        <w:t xml:space="preserve">Granular 19-Module Role-Based Access Control (RBAC): </w:t>
      </w:r>
      <w:r>
        <w:rPr>
          <w:color w:val="334155"/>
        </w:rPr>
        <w:t xml:space="preserve">Sub-administrators have role-gated access (Accounts Clerk preset, Admission Incharge, Exam Cell Officer, Web CMS Manager) eliminating security risks of shared super-admin accounts.</w:t>
      </w:r>
    </w:p>
    <w:p>
      <w:pPr>
        <w:pStyle w:val="ListParagraph"/>
        <w:numPr>
          <w:ilvl w:val="0"/>
          <w:numId w:val="1"/>
        </w:numPr>
        <w:spacing w:before="35" w:after="55"/>
      </w:pPr>
      <w:r>
        <w:rPr>
          <w:b/>
          <w:bCs/>
          <w:color w:val="0F3460"/>
        </w:rPr>
        <w:t xml:space="preserve">Zero-Trust Database Security: </w:t>
      </w:r>
      <w:r>
        <w:rPr>
          <w:color w:val="334155"/>
        </w:rPr>
        <w:t xml:space="preserve">Security rules mathematically enforced at the Google Cloud Firestore layer. Unauthorized reads or writes are rejected at the database level.</w:t>
      </w:r>
    </w:p>
    <w:p>
      <w:pPr>
        <w:pStyle w:val="ListParagraph"/>
        <w:numPr>
          <w:ilvl w:val="0"/>
          <w:numId w:val="1"/>
        </w:numPr>
        <w:spacing w:before="35" w:after="55"/>
      </w:pPr>
      <w:r>
        <w:rPr>
          <w:b/>
          <w:bCs/>
          <w:color w:val="0F3460"/>
        </w:rPr>
        <w:t xml:space="preserve">Sub-Second Performance &amp; 0ms TBT: </w:t>
      </w:r>
      <w:r>
        <w:rPr>
          <w:color w:val="334155"/>
        </w:rPr>
        <w:t xml:space="preserve">Zero Total Blocking Time (TBT = 0ms). Single Page Application architecture with instant client-side Word, PDF, and ID card compilation inside browser memory in under 1 second.</w:t>
      </w:r>
    </w:p>
    <w:p>
      <w:pPr>
        <w:pStyle w:val="ListParagraph"/>
        <w:numPr>
          <w:ilvl w:val="0"/>
          <w:numId w:val="1"/>
        </w:numPr>
        <w:spacing w:before="35" w:after="55"/>
      </w:pPr>
      <w:r>
        <w:rPr>
          <w:b/>
          <w:bCs/>
          <w:color w:val="0F3460"/>
        </w:rPr>
        <w:t xml:space="preserve">₹0 Annual Software Licensing: </w:t>
      </w:r>
      <w:r>
        <w:rPr>
          <w:color w:val="334155"/>
        </w:rPr>
        <w:t xml:space="preserve">Saves GHSS Shangus between ₹75,000 to ₹1,80,000 annually compared to proprietary commercial ERP software, with zero recurring vendor lock-in.</w:t>
      </w:r>
    </w:p>
    <w:p>
      <w:pPr>
        <w:pStyle w:val="ListParagraph"/>
        <w:numPr>
          <w:ilvl w:val="0"/>
          <w:numId w:val="1"/>
        </w:numPr>
        <w:spacing w:before="35" w:after="55"/>
      </w:pPr>
      <w:r>
        <w:rPr>
          <w:b/>
          <w:bCs/>
          <w:color w:val="0F3460"/>
        </w:rPr>
        <w:t xml:space="preserve">350+ Staff Hours Saved Annually: </w:t>
      </w:r>
      <w:r>
        <w:rPr>
          <w:color w:val="334155"/>
        </w:rPr>
        <w:t xml:space="preserve">Automated collation of registers, roll lists, sent-up sheets, award rolls, and ID cards saves weeks of clerical labor for teaching and administrative staff.</w:t>
      </w:r>
    </w:p>
    <w:p>
      <w:pPr>
        <w:spacing w:before="140"/>
      </w:pP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20"/>
              <w:left w:type="dxa" w:w="180"/>
              <w:bottom w:type="dxa" w:w="120"/>
              <w:right w:type="dxa" w:w="180"/>
            </w:tcMar>
          </w:tcPr>
          <w:p>
            <w:r>
              <w:rPr>
                <w:b/>
                <w:bCs/>
                <w:color w:val="065F46"/>
                <w:sz w:val="22"/>
                <w:szCs w:val="22"/>
              </w:rPr>
              <w:t xml:space="preserve">FORMAL RECOMMENDATION FOR THE OFFICE OF THE PRINCIPAL</w:t>
            </w:r>
          </w:p>
          <w:p>
            <w:pPr>
              <w:spacing w:before="40"/>
            </w:pPr>
            <w:r>
              <w:rPr>
                <w:color w:val="1E293B"/>
                <w:sz w:val="20"/>
                <w:szCs w:val="20"/>
              </w:rPr>
              <w:t xml:space="preserve">It is respectfully submitted that the Office of the Principal officially endorse and mandate this unified digital platform for all academic intakes, practical evaluations, pre-board assessments, and institutional records. This guarantees absolute record integrity, eliminates paper ledger degradation, saves hundreds of clerical hours, and cements GHSS Shangus’s status as a pioneer in digital education.</w:t>
            </w:r>
          </w:p>
        </w:tc>
      </w:tr>
    </w:tbl>
    <w:p>
      <w:pPr>
        <w:spacing w:before="200"/>
      </w:pPr>
    </w:p>
    <w:tbl>
      <w:tblPr>
        <w:tblW w:type="pct" w:w="100%"/>
        <w:tblBorders>
          <w:top w:val="single" w:color="CBD5E1" w:sz="8"/>
          <w:left w:val="none"/>
          <w:bottom w:val="none"/>
          <w:right w:val="none"/>
          <w:insideH w:val="single" w:color="auto" w:sz="4"/>
          <w:insideV w:val="single" w:color="auto" w:sz="4"/>
        </w:tblBorders>
      </w:tblPr>
      <w:tblGrid>
        <w:gridCol w:w="100"/>
        <w:gridCol w:w="100"/>
        <w:gridCol w:w="100"/>
      </w:tblGrid>
      <w:tr>
        <w:tc>
          <w:tcPr>
            <w:tcW w:type="pct" w:w="33%"/>
            <w:tcMar>
              <w:top w:type="dxa" w:w="220"/>
              <w:left w:type="dxa" w:w="80"/>
              <w:bottom w:type="dxa" w:w="60"/>
              <w:right w:type="dxa" w:w="80"/>
            </w:tcMar>
          </w:tcPr>
          <w:p>
            <w:pPr>
              <w:jc w:val="center"/>
            </w:pPr>
            <w:r>
              <w:t xml:space="preserve">_______________________________</w:t>
            </w:r>
          </w:p>
          <w:p>
            <w:pPr>
              <w:spacing w:before="40"/>
              <w:jc w:val="center"/>
            </w:pPr>
            <w:r>
              <w:rPr>
                <w:b/>
                <w:bCs/>
                <w:color w:val="0F3460"/>
                <w:sz w:val="18"/>
                <w:szCs w:val="18"/>
              </w:rPr>
              <w:t xml:space="preserve">Technical Coordinator</w:t>
            </w:r>
            <w:r>
              <w:rPr>
                <w:color w:val="64748B"/>
                <w:sz w:val="16"/>
                <w:szCs w:val="16"/>
              </w:rPr>
              <w:t xml:space="preserve">
IT &amp; Portal Management Cell</w:t>
            </w:r>
          </w:p>
        </w:tc>
        <w:tc>
          <w:tcPr>
            <w:tcW w:type="pct" w:w="33%"/>
            <w:tcMar>
              <w:top w:type="dxa" w:w="220"/>
              <w:left w:type="dxa" w:w="80"/>
              <w:bottom w:type="dxa" w:w="60"/>
              <w:right w:type="dxa" w:w="80"/>
            </w:tcMar>
          </w:tcPr>
          <w:p>
            <w:pPr>
              <w:jc w:val="center"/>
            </w:pPr>
            <w:r>
              <w:t xml:space="preserve">_______________________________</w:t>
            </w:r>
          </w:p>
          <w:p>
            <w:pPr>
              <w:spacing w:before="40"/>
              <w:jc w:val="center"/>
            </w:pPr>
            <w:r>
              <w:rPr>
                <w:b/>
                <w:bCs/>
                <w:color w:val="0F3460"/>
                <w:sz w:val="18"/>
                <w:szCs w:val="18"/>
              </w:rPr>
              <w:t xml:space="preserve">Examination Incharge</w:t>
            </w:r>
            <w:r>
              <w:rPr>
                <w:color w:val="64748B"/>
                <w:sz w:val="16"/>
                <w:szCs w:val="16"/>
              </w:rPr>
              <w:t xml:space="preserve">
Academic Assessment Cell</w:t>
            </w:r>
          </w:p>
        </w:tc>
        <w:tc>
          <w:tcPr>
            <w:tcW w:type="pct" w:w="34%"/>
            <w:tcMar>
              <w:top w:type="dxa" w:w="220"/>
              <w:left w:type="dxa" w:w="80"/>
              <w:bottom w:type="dxa" w:w="60"/>
              <w:right w:type="dxa" w:w="80"/>
            </w:tcMar>
          </w:tcPr>
          <w:p>
            <w:pPr>
              <w:jc w:val="center"/>
            </w:pPr>
            <w:r>
              <w:t xml:space="preserve">_______________________________</w:t>
            </w:r>
          </w:p>
          <w:p>
            <w:pPr>
              <w:spacing w:before="40"/>
              <w:jc w:val="center"/>
            </w:pPr>
            <w:r>
              <w:rPr>
                <w:b/>
                <w:bCs/>
                <w:color w:val="047857"/>
                <w:sz w:val="18"/>
                <w:szCs w:val="18"/>
              </w:rPr>
              <w:t xml:space="preserve">Principal (Approved &amp; Accepted)</w:t>
            </w:r>
            <w:r>
              <w:rPr>
                <w:color w:val="64748B"/>
                <w:sz w:val="16"/>
                <w:szCs w:val="16"/>
              </w:rPr>
              <w:t xml:space="preserve">
Govt. Higher Secondary School Shangus</w:t>
            </w:r>
          </w:p>
        </w:tc>
      </w:tr>
    </w:tbl>
    <w:sectPr>
      <w:headerReference w:type="default" r:id="rId6"/>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94A3B8"/>
        <w:sz w:val="15"/>
        <w:szCs w:val="15"/>
      </w:rPr>
      <w:t xml:space="preserve">Confidential • Office of the Principal • GHSS Shangus</w:t>
    </w:r>
    <w:r>
      <w:rPr>
        <w:color w:val="94A3B8"/>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4748B"/>
        <w:sz w:val="15"/>
        <w:szCs w:val="15"/>
      </w:rPr>
      <w:t xml:space="preserve">GOVT. HIGHER SECONDARY SCHOOL SHANGUS • ADMINISTRATIVE PLATFORM DOSSIER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0"/>
        <w:szCs w:val="20"/>
        <w:rFonts w:ascii="Arial" w:cs="Arial" w:eastAsia="Arial" w:hAnsi="Arial"/>
      </w:rPr>
    </w:rPrDefault>
    <w:pPrDefault>
      <w:pPr>
        <w:spacing w:line="250" w:after="9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Platform Dossier for the Principal - GHSS Shangus</dc:title>
  <dc:creator>Technical Architecture &amp; Portal Development Team</dc:creator>
  <dc:description>Comprehensive classified breakdown of 20 administrative modules, Student Portal, Teacher Portal, Public Results Engine, 2006 ledger digitization, Master Gazette with custom selection print, and zero-latency performance.</dc:description>
  <cp:lastModifiedBy>Un-named</cp:lastModifiedBy>
  <cp:revision>1</cp:revision>
  <dcterms:created xsi:type="dcterms:W3CDTF">2026-09-18T17:09:52.636Z</dcterms:created>
  <dcterms:modified xsi:type="dcterms:W3CDTF">2026-09-18T17:09:52.637Z</dcterms:modified>
</cp:coreProperties>
</file>

<file path=docProps/custom.xml><?xml version="1.0" encoding="utf-8"?>
<Properties xmlns="http://schemas.openxmlformats.org/officeDocument/2006/custom-properties" xmlns:vt="http://schemas.openxmlformats.org/officeDocument/2006/docPropsVTypes"/>
</file>