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 w:after="60"/>
        <w:jc w:val="center"/>
      </w:pPr>
      <w:r>
        <w:rPr>
          <w:b/>
          <w:bCs/>
          <w:color w:val="0F3460"/>
          <w:sz w:val="28"/>
          <w:szCs w:val="28"/>
        </w:rPr>
        <w:t xml:space="preserve">GOVERNMENT HIGHER SECONDARY SCHOOL SHANGUS</w:t>
      </w:r>
    </w:p>
    <w:p>
      <w:pPr>
        <w:spacing w:after="140"/>
        <w:jc w:val="center"/>
      </w:pPr>
      <w:r>
        <w:rPr>
          <w:b/>
          <w:bCs/>
          <w:color w:val="475569"/>
          <w:sz w:val="19"/>
          <w:szCs w:val="19"/>
        </w:rPr>
        <w:t xml:space="preserve">Department of School Education, UT of Jammu &amp; Kashmir</w:t>
      </w:r>
    </w:p>
    <w:p>
      <w:pPr>
        <w:spacing w:after="240"/>
        <w:jc w:val="center"/>
      </w:pPr>
      <w:r>
        <w:rPr>
          <w:b/>
          <w:bCs/>
          <w:color w:val="047857"/>
          <w:sz w:val="23"/>
          <w:szCs w:val="23"/>
        </w:rPr>
        <w:t xml:space="preserve">EXECUTIVE INSTITUTIONAL DOSSIER FOR THE RESPECTED PRINCIPAL</w:t>
      </w:r>
    </w:p>
    <w:tbl>
      <w:tblPr>
        <w:tblW w:type="pct" w:w="100%"/>
        <w:tblBorders>
          <w:top w:val="none"/>
          <w:left w:val="single" w:color="047857" w:sz="24"/>
          <w:bottom w:val="none"/>
          <w:right w:val="none"/>
          <w:insideH w:val="single" w:color="auto" w:sz="4"/>
          <w:insideV w:val="single" w:color="auto" w:sz="4"/>
        </w:tblBorders>
      </w:tblPr>
      <w:tblGrid>
        <w:gridCol w:w="100"/>
      </w:tblGrid>
      <w:tr>
        <w:tc>
          <w:tcPr>
            <w:shd w:fill="ECFDF5" w:val="clear"/>
            <w:tcMar>
              <w:top w:type="dxa" w:w="120"/>
              <w:left w:type="dxa" w:w="180"/>
              <w:bottom w:type="dxa" w:w="120"/>
              <w:right w:type="dxa" w:w="180"/>
            </w:tcMar>
          </w:tcPr>
          <w:p>
            <w:r>
              <w:rPr>
                <w:b/>
                <w:bCs/>
                <w:color w:val="065F46"/>
                <w:sz w:val="22"/>
                <w:szCs w:val="22"/>
              </w:rPr>
              <w:t xml:space="preserve">EXECUTIVE SUMMARY &amp; PURPOSE</w:t>
            </w:r>
          </w:p>
          <w:p>
            <w:pPr>
              <w:spacing w:before="40"/>
            </w:pPr>
            <w:r>
              <w:rPr>
                <w:color w:val="1E293B"/>
                <w:sz w:val="20"/>
                <w:szCs w:val="20"/>
              </w:rPr>
              <w:t xml:space="preserve">This comprehensive brief demonstrates the digital transformation of Govt. Higher Secondary School Shangus into a modern, state-of-the-art educational institution. Equipped with 20 specialized administrative modules, two decades of historical student records digitized since 2006, sub-second execution speeds, and impenetrable cloud security, this platform establishes GHSS Shangus as a premier model school in District Anantnag and Jammu &amp; Kashmir.</w:t>
            </w:r>
          </w:p>
        </w:tc>
      </w:tr>
    </w:tbl>
    <w:p>
      <w:pPr>
        <w:spacing w:before="160"/>
      </w:pPr>
    </w:p>
    <w:p>
      <w:pPr>
        <w:pStyle w:val="Heading1"/>
        <w:spacing w:before="280" w:after="120"/>
      </w:pPr>
      <w:r>
        <w:t xml:space="preserve">★ Landmark Milestone: Admission Register Digitized Since 2006 (Classes 11th &amp; 12th)</w:t>
      </w:r>
    </w:p>
    <w:tbl>
      <w:tblPr>
        <w:tblW w:type="pct" w:w="100%"/>
        <w:tblBorders>
          <w:top w:val="none"/>
          <w:left w:val="single" w:color="D97706" w:sz="24"/>
          <w:bottom w:val="none"/>
          <w:right w:val="none"/>
          <w:insideH w:val="single" w:color="auto" w:sz="4"/>
          <w:insideV w:val="single" w:color="auto" w:sz="4"/>
        </w:tblBorders>
      </w:tblPr>
      <w:tblGrid>
        <w:gridCol w:w="100"/>
      </w:tblGrid>
      <w:tr>
        <w:tc>
          <w:tcPr>
            <w:shd w:fill="FFFBEB" w:val="clear"/>
            <w:tcMar>
              <w:top w:type="dxa" w:w="120"/>
              <w:left w:type="dxa" w:w="180"/>
              <w:bottom w:type="dxa" w:w="120"/>
              <w:right w:type="dxa" w:w="180"/>
            </w:tcMar>
          </w:tcPr>
          <w:p>
            <w:r>
              <w:rPr>
                <w:b/>
                <w:bCs/>
                <w:color w:val="92400E"/>
                <w:sz w:val="22"/>
                <w:szCs w:val="22"/>
              </w:rPr>
              <w:t xml:space="preserve">20+ YEARS OF HISTORICAL INSTITUTIONAL RECORDS AT YOUR FINGERTIPS</w:t>
            </w:r>
          </w:p>
          <w:p>
            <w:pPr>
              <w:spacing w:before="40"/>
            </w:pPr>
            <w:r>
              <w:rPr>
                <w:color w:val="1E293B"/>
                <w:sz w:val="20"/>
                <w:szCs w:val="20"/>
              </w:rPr>
              <w:t xml:space="preserve">A historic administrative milestone has been accomplished: the complete Official Admission Register for Classes 11th and 12th has been painstakingly digitized back to the year 2006. Over two decades of student admissions, parentage, registration numbers, streams, admission dates, and matriculation records are now indexed in an instant, searchable cloud database.</w:t>
            </w:r>
          </w:p>
        </w:tc>
      </w:tr>
    </w:tbl>
    <w:p>
      <w:pPr>
        <w:spacing w:before="100"/>
      </w:pPr>
    </w:p>
    <w:p>
      <w:pPr>
        <w:pStyle w:val="ListParagraph"/>
        <w:numPr>
          <w:ilvl w:val="0"/>
          <w:numId w:val="1"/>
        </w:numPr>
        <w:spacing w:before="40" w:after="60"/>
      </w:pPr>
      <w:r>
        <w:rPr>
          <w:b/>
          <w:bCs/>
          <w:color w:val="0F3460"/>
        </w:rPr>
        <w:t xml:space="preserve">Instant Alumni &amp; Past Record Verification: </w:t>
      </w:r>
      <w:r>
        <w:rPr>
          <w:color w:val="334155"/>
        </w:rPr>
        <w:t xml:space="preserve">Verifying student records from 10, 15, or 20 years ago (for passport verification, employment clearances, university admissions, or duplicate certificates) previously required hours of searching through fragile, dusty, physical paper registers. Now, any record since 2006 can be located and confirmed in under 2 seconds.</w:t>
      </w:r>
    </w:p>
    <w:p>
      <w:pPr>
        <w:pStyle w:val="ListParagraph"/>
        <w:numPr>
          <w:ilvl w:val="0"/>
          <w:numId w:val="1"/>
        </w:numPr>
        <w:spacing w:before="40" w:after="60"/>
      </w:pPr>
      <w:r>
        <w:rPr>
          <w:b/>
          <w:bCs/>
          <w:color w:val="0F3460"/>
        </w:rPr>
        <w:t xml:space="preserve">Disaster Proof &amp; Permanent Preservation: </w:t>
      </w:r>
      <w:r>
        <w:rPr>
          <w:color w:val="334155"/>
        </w:rPr>
        <w:t xml:space="preserve">Physical paper ledgers in Kashmir are susceptible to moisture, dampness, insect damage, fire, and ink fading. Cloud digitization guarantees permanent archival preservation with 99.99% multi-region redundancy on Google Cloud.</w:t>
      </w:r>
    </w:p>
    <w:p>
      <w:pPr>
        <w:pStyle w:val="ListParagraph"/>
        <w:numPr>
          <w:ilvl w:val="0"/>
          <w:numId w:val="1"/>
        </w:numPr>
        <w:spacing w:before="40" w:after="60"/>
      </w:pPr>
      <w:r>
        <w:rPr>
          <w:b/>
          <w:bCs/>
          <w:color w:val="0F3460"/>
        </w:rPr>
        <w:t xml:space="preserve">Seamless Alignment with JKBOSE Sent-Up Rolls: </w:t>
      </w:r>
      <w:r>
        <w:rPr>
          <w:color w:val="334155"/>
        </w:rPr>
        <w:t xml:space="preserve">Historical Class 11th &amp; 12th admission data is synchronized with official JKBOSE registration rolls, completely eliminating discrepancies in dates of birth, parentage spellings, and subject codes.</w:t>
      </w:r>
    </w:p>
    <w:p>
      <w:pPr>
        <w:spacing w:before="160"/>
      </w:pPr>
    </w:p>
    <w:p>
      <w:pPr>
        <w:pStyle w:val="Heading1"/>
        <w:spacing w:before="280" w:after="120"/>
      </w:pPr>
      <w:r>
        <w:t xml:space="preserve">Comprehensive Classified Directory of 20 Administrative Modules</w:t>
      </w:r>
    </w:p>
    <w:p>
      <w:r>
        <w:rPr>
          <w:color w:val="334155"/>
        </w:rPr>
        <w:t xml:space="preserve">The administrative architecture is systematically classified into 4 functional divisions comprising 20 production-ready tools:</w:t>
      </w:r>
    </w:p>
    <w:p>
      <w:pPr>
        <w:pStyle w:val="Heading2"/>
        <w:spacing w:before="200" w:after="80"/>
      </w:pPr>
      <w:r>
        <w:t xml:space="preserve">Category 1: Records &amp; Registers (7 Specialized Tools)</w:t>
      </w:r>
    </w:p>
    <w:p>
      <w:pPr>
        <w:pStyle w:val="ListParagraph"/>
        <w:numPr>
          <w:ilvl w:val="0"/>
          <w:numId w:val="1"/>
        </w:numPr>
        <w:spacing w:before="40" w:after="60"/>
      </w:pPr>
      <w:r>
        <w:rPr>
          <w:b/>
          <w:bCs/>
          <w:color w:val="0F3460"/>
        </w:rPr>
        <w:t xml:space="preserve">1. Student Records &amp; Reports: </w:t>
      </w:r>
      <w:r>
        <w:rPr>
          <w:color w:val="334155"/>
        </w:rPr>
        <w:t xml:space="preserve">Centralized student master register with comprehensive filters (class, stream, session, gender, category). Supports in-place review, approval workflows, individual student dossiers, fee status reconciliation, and export to Excel/PDF.</w:t>
      </w:r>
    </w:p>
    <w:p>
      <w:pPr>
        <w:pStyle w:val="ListParagraph"/>
        <w:numPr>
          <w:ilvl w:val="0"/>
          <w:numId w:val="1"/>
        </w:numPr>
        <w:spacing w:before="40" w:after="60"/>
      </w:pPr>
      <w:r>
        <w:rPr>
          <w:b/>
          <w:bCs/>
          <w:color w:val="0F3460"/>
        </w:rPr>
        <w:t xml:space="preserve">2. Admission Register &amp; Sent-up Suite: </w:t>
      </w:r>
      <w:r>
        <w:rPr>
          <w:color w:val="334155"/>
        </w:rPr>
        <w:t xml:space="preserve">Direct digital replica of the official school admission ledger and JKBOSE sent-up register. Tracks admission serial numbers, enrollment dates, board registration numbers, and matriculation passout details with O(1) indexed lookups.</w:t>
      </w:r>
    </w:p>
    <w:p>
      <w:pPr>
        <w:pStyle w:val="ListParagraph"/>
        <w:numPr>
          <w:ilvl w:val="0"/>
          <w:numId w:val="1"/>
        </w:numPr>
        <w:spacing w:before="40" w:after="60"/>
      </w:pPr>
      <w:r>
        <w:rPr>
          <w:b/>
          <w:bCs/>
          <w:color w:val="0F3460"/>
        </w:rPr>
        <w:t xml:space="preserve">3. Student Rosters &amp; Registers: </w:t>
      </w:r>
      <w:r>
        <w:rPr>
          <w:color w:val="334155"/>
        </w:rPr>
        <w:t xml:space="preserve">Generates customizable tabular registers, daily roll call sheets, fee collection ledgers, and class-wise lists with configurable column layouts and high-precision print headers.</w:t>
      </w:r>
    </w:p>
    <w:p>
      <w:pPr>
        <w:pStyle w:val="ListParagraph"/>
        <w:numPr>
          <w:ilvl w:val="0"/>
          <w:numId w:val="1"/>
        </w:numPr>
        <w:spacing w:before="40" w:after="60"/>
      </w:pPr>
      <w:r>
        <w:rPr>
          <w:b/>
          <w:bCs/>
          <w:color w:val="0F3460"/>
        </w:rPr>
        <w:t xml:space="preserve">4. Official Letterhead Writer: </w:t>
      </w:r>
      <w:r>
        <w:rPr>
          <w:color w:val="334155"/>
        </w:rPr>
        <w:t xml:space="preserve">Built-in word processor for drafting and issuing official administrative correspondence. Features Gemini AI composition assistance, auto-saving drafts, institutional letterheads, and an immutable dispatch history.</w:t>
      </w:r>
    </w:p>
    <w:p>
      <w:pPr>
        <w:pStyle w:val="ListParagraph"/>
        <w:numPr>
          <w:ilvl w:val="0"/>
          <w:numId w:val="1"/>
        </w:numPr>
        <w:spacing w:before="40" w:after="60"/>
      </w:pPr>
      <w:r>
        <w:rPr>
          <w:b/>
          <w:bCs/>
          <w:color w:val="0F3460"/>
        </w:rPr>
        <w:t xml:space="preserve">5. Student Bonafides &amp; Certificates: </w:t>
      </w:r>
      <w:r>
        <w:rPr>
          <w:color w:val="334155"/>
        </w:rPr>
        <w:t xml:space="preserve">One-click generator for Bonafide Certificates, Character Certificates, Date of Birth Certificates, and Transfer Certificates with cryptographic anti-tamper QR codes and official serial sequences.</w:t>
      </w:r>
    </w:p>
    <w:p>
      <w:pPr>
        <w:pStyle w:val="ListParagraph"/>
        <w:numPr>
          <w:ilvl w:val="0"/>
          <w:numId w:val="1"/>
        </w:numPr>
        <w:spacing w:before="40" w:after="60"/>
      </w:pPr>
      <w:r>
        <w:rPr>
          <w:b/>
          <w:bCs/>
          <w:color w:val="0F3460"/>
        </w:rPr>
        <w:t xml:space="preserve">6. Student ID Card Studio: </w:t>
      </w:r>
      <w:r>
        <w:rPr>
          <w:color w:val="334155"/>
        </w:rPr>
        <w:t xml:space="preserve">High-throughput identity card synthesis engine. Filters by class/stream, resolves student photographs, and compiles printable grids of barcode/QR-enabled student ID cards ready for PVC or laminated printing.</w:t>
      </w:r>
    </w:p>
    <w:p>
      <w:pPr>
        <w:pStyle w:val="ListParagraph"/>
        <w:numPr>
          <w:ilvl w:val="0"/>
          <w:numId w:val="1"/>
        </w:numPr>
        <w:spacing w:before="40" w:after="60"/>
      </w:pPr>
      <w:r>
        <w:rPr>
          <w:b/>
          <w:bCs/>
          <w:color w:val="0F3460"/>
        </w:rPr>
        <w:t xml:space="preserve">7. Competitive Exams &amp; OMR Suite: </w:t>
      </w:r>
      <w:r>
        <w:rPr>
          <w:color w:val="334155"/>
        </w:rPr>
        <w:t xml:space="preserve">End-to-end module for organizing institutional screening exams, talent searches, and entrance mock tests. Manages student registrations, automated PDF admit card generation, and OMR answer sheet processing.</w:t>
      </w:r>
    </w:p>
    <w:p>
      <w:pPr>
        <w:pStyle w:val="Heading2"/>
        <w:spacing w:before="200" w:after="80"/>
      </w:pPr>
      <w:r>
        <w:t xml:space="preserve">Category 2: Academics &amp; Controls (4 Core Tools)</w:t>
      </w:r>
    </w:p>
    <w:p>
      <w:pPr>
        <w:pStyle w:val="ListParagraph"/>
        <w:numPr>
          <w:ilvl w:val="0"/>
          <w:numId w:val="1"/>
        </w:numPr>
        <w:spacing w:before="40" w:after="60"/>
      </w:pPr>
      <w:r>
        <w:rPr>
          <w:b/>
          <w:bCs/>
          <w:color w:val="0F3460"/>
        </w:rPr>
        <w:t xml:space="preserve">8. Academic Controls &amp; Institution Rules: </w:t>
      </w:r>
      <w:r>
        <w:rPr>
          <w:color w:val="334155"/>
        </w:rPr>
        <w:t xml:space="preserve">Master administration console to configure academic sessions, toggle online admission windows, set intake caps per stream, and define institutional policy parameters.</w:t>
      </w:r>
    </w:p>
    <w:p>
      <w:pPr>
        <w:pStyle w:val="ListParagraph"/>
        <w:numPr>
          <w:ilvl w:val="0"/>
          <w:numId w:val="1"/>
        </w:numPr>
        <w:spacing w:before="40" w:after="60"/>
      </w:pPr>
      <w:r>
        <w:rPr>
          <w:b/>
          <w:bCs/>
          <w:color w:val="0F3460"/>
        </w:rPr>
        <w:t xml:space="preserve">9. Practicals &amp; Award Rolls Engine: </w:t>
      </w:r>
      <w:r>
        <w:rPr>
          <w:color w:val="334155"/>
        </w:rPr>
        <w:t xml:space="preserve">Empowers practical examiners and subject teachers to enter internal/practical marks. Features live validation against maximum marks, marks freeze/lockout safeguards, and automatic generation of official Two-Column Attendance Rosters and Award Rolls in both native Word (.docx) and PDF formats.</w:t>
      </w:r>
    </w:p>
    <w:p>
      <w:pPr>
        <w:pStyle w:val="ListParagraph"/>
        <w:numPr>
          <w:ilvl w:val="0"/>
          <w:numId w:val="1"/>
        </w:numPr>
        <w:spacing w:before="40" w:after="60"/>
      </w:pPr>
      <w:r>
        <w:rPr>
          <w:b/>
          <w:bCs/>
          <w:color w:val="0F3460"/>
        </w:rPr>
        <w:t xml:space="preserve">10. Student Attendance Management: </w:t>
      </w:r>
      <w:r>
        <w:rPr>
          <w:color w:val="334155"/>
        </w:rPr>
        <w:t xml:space="preserve">Digital attendance registers enabling daily period-wise or day-wise attendance logging, aggregate monthly attendance tracking, shortage alerts, and parent notification reports.</w:t>
      </w:r>
    </w:p>
    <w:p>
      <w:pPr>
        <w:pStyle w:val="ListParagraph"/>
        <w:numPr>
          <w:ilvl w:val="0"/>
          <w:numId w:val="1"/>
        </w:numPr>
        <w:spacing w:before="40" w:after="60"/>
      </w:pPr>
      <w:r>
        <w:rPr>
          <w:b/>
          <w:bCs/>
          <w:color w:val="0F3460"/>
        </w:rPr>
        <w:t xml:space="preserve">11. Class Roll Number Manager: </w:t>
      </w:r>
      <w:r>
        <w:rPr>
          <w:color w:val="334155"/>
        </w:rPr>
        <w:t xml:space="preserve">Automated sequential roll number assigner. Eliminates manual bookkeeping by auto-generating roll numbers by stream, class, or alphabet with conflict-free collision prevention.</w:t>
      </w:r>
    </w:p>
    <w:p>
      <w:pPr>
        <w:pStyle w:val="Heading2"/>
        <w:spacing w:before="200" w:after="80"/>
      </w:pPr>
      <w:r>
        <w:t xml:space="preserve">Category 3: Operations &amp; Automation (5 Tools)</w:t>
      </w:r>
    </w:p>
    <w:p>
      <w:pPr>
        <w:pStyle w:val="ListParagraph"/>
        <w:numPr>
          <w:ilvl w:val="0"/>
          <w:numId w:val="1"/>
        </w:numPr>
        <w:spacing w:before="40" w:after="60"/>
      </w:pPr>
      <w:r>
        <w:rPr>
          <w:b/>
          <w:bCs/>
          <w:color w:val="0F3460"/>
        </w:rPr>
        <w:t xml:space="preserve">12. Application Merge &amp; Deduplication (Merge Studio): </w:t>
      </w:r>
      <w:r>
        <w:rPr>
          <w:color w:val="334155"/>
        </w:rPr>
        <w:t xml:space="preserve">Algorithmic identity deduplication engine using Disjoint-Set Union (DSU) clustering. Automatically detects duplicate online applications submitted by the same student and merges them safely while preserving previous drafts in the Recycle Bin.</w:t>
      </w:r>
    </w:p>
    <w:p>
      <w:pPr>
        <w:pStyle w:val="ListParagraph"/>
        <w:numPr>
          <w:ilvl w:val="0"/>
          <w:numId w:val="1"/>
        </w:numPr>
        <w:spacing w:before="40" w:after="60"/>
      </w:pPr>
      <w:r>
        <w:rPr>
          <w:b/>
          <w:bCs/>
          <w:color w:val="0F3460"/>
        </w:rPr>
        <w:t xml:space="preserve">13. Communications &amp; Automations: </w:t>
      </w:r>
      <w:r>
        <w:rPr>
          <w:color w:val="334155"/>
        </w:rPr>
        <w:t xml:space="preserve">Targeted group email and SMS broadcast composer. Features rich-text editing, template variables, real-time recipient counts by stream/class, test-flight previews, and delivery logs.</w:t>
      </w:r>
    </w:p>
    <w:p>
      <w:pPr>
        <w:pStyle w:val="ListParagraph"/>
        <w:numPr>
          <w:ilvl w:val="0"/>
          <w:numId w:val="1"/>
        </w:numPr>
        <w:spacing w:before="40" w:after="60"/>
      </w:pPr>
      <w:r>
        <w:rPr>
          <w:b/>
          <w:bCs/>
          <w:color w:val="0F3460"/>
        </w:rPr>
        <w:t xml:space="preserve">14. Funds &amp; Fee Accounts: </w:t>
      </w:r>
      <w:r>
        <w:rPr>
          <w:color w:val="334155"/>
        </w:rPr>
        <w:t xml:space="preserve">Reconciles school fund collections, admission fees, lab charges, and sports funds. Provides detailed student-level ledger tracking and aggregate revenue summaries with over-distribution safeguards.</w:t>
      </w:r>
    </w:p>
    <w:p>
      <w:pPr>
        <w:pStyle w:val="ListParagraph"/>
        <w:numPr>
          <w:ilvl w:val="0"/>
          <w:numId w:val="1"/>
        </w:numPr>
        <w:spacing w:before="40" w:after="60"/>
      </w:pPr>
      <w:r>
        <w:rPr>
          <w:b/>
          <w:bCs/>
          <w:color w:val="0F3460"/>
        </w:rPr>
        <w:t xml:space="preserve">15. Website CMS &amp; Administration: </w:t>
      </w:r>
      <w:r>
        <w:rPr>
          <w:color w:val="334155"/>
        </w:rPr>
        <w:t xml:space="preserve">Dynamic content management system for the public school website. Controls notices, news ticker, photo gallery slides, faculty directory, and public announcements in real time.</w:t>
      </w:r>
    </w:p>
    <w:p>
      <w:pPr>
        <w:pStyle w:val="ListParagraph"/>
        <w:numPr>
          <w:ilvl w:val="0"/>
          <w:numId w:val="1"/>
        </w:numPr>
        <w:spacing w:before="40" w:after="60"/>
      </w:pPr>
      <w:r>
        <w:rPr>
          <w:b/>
          <w:bCs/>
          <w:color w:val="0F3460"/>
        </w:rPr>
        <w:t xml:space="preserve">16. Board Data Sync (JKBOSE): </w:t>
      </w:r>
      <w:r>
        <w:rPr>
          <w:color w:val="334155"/>
        </w:rPr>
        <w:t xml:space="preserve">Automated reconciliation bridge with official JKBOSE databases. Cross-references student particulars with official board registration data, updating records with 30-day rollback memory.</w:t>
      </w:r>
    </w:p>
    <w:p>
      <w:pPr>
        <w:pStyle w:val="Heading2"/>
        <w:spacing w:before="200" w:after="80"/>
      </w:pPr>
      <w:r>
        <w:t xml:space="preserve">Category 4: Quick Actions &amp; Productivity Utilities (4 Tools)</w:t>
      </w:r>
    </w:p>
    <w:p>
      <w:pPr>
        <w:pStyle w:val="ListParagraph"/>
        <w:numPr>
          <w:ilvl w:val="0"/>
          <w:numId w:val="1"/>
        </w:numPr>
        <w:spacing w:before="40" w:after="60"/>
      </w:pPr>
      <w:r>
        <w:rPr>
          <w:b/>
          <w:bCs/>
          <w:color w:val="0F3460"/>
        </w:rPr>
        <w:t xml:space="preserve">17. Quick Cell Edit Hover: </w:t>
      </w:r>
      <w:r>
        <w:rPr>
          <w:color w:val="334155"/>
        </w:rPr>
        <w:t xml:space="preserve">Instant inline editing capability allowing administrators to correct student data directly inside table rows with single-click auto-saving, without opening full forms.</w:t>
      </w:r>
    </w:p>
    <w:p>
      <w:pPr>
        <w:pStyle w:val="ListParagraph"/>
        <w:numPr>
          <w:ilvl w:val="0"/>
          <w:numId w:val="1"/>
        </w:numPr>
        <w:spacing w:before="40" w:after="60"/>
      </w:pPr>
      <w:r>
        <w:rPr>
          <w:b/>
          <w:bCs/>
          <w:color w:val="0F3460"/>
        </w:rPr>
        <w:t xml:space="preserve">18. Analytics &amp; Statistical Reports: </w:t>
      </w:r>
      <w:r>
        <w:rPr>
          <w:color w:val="334155"/>
        </w:rPr>
        <w:t xml:space="preserve">Executive dashboard providing visual breakdown of gender parity ratios, stream-wise enrollment distributions, category representations (RBA, SC, ST, OSC), and annual intake comparisons.</w:t>
      </w:r>
    </w:p>
    <w:p>
      <w:pPr>
        <w:pStyle w:val="ListParagraph"/>
        <w:numPr>
          <w:ilvl w:val="0"/>
          <w:numId w:val="1"/>
        </w:numPr>
        <w:spacing w:before="40" w:after="60"/>
      </w:pPr>
      <w:r>
        <w:rPr>
          <w:b/>
          <w:bCs/>
          <w:color w:val="0F3460"/>
        </w:rPr>
        <w:t xml:space="preserve">19. Express Direct Record Entry: </w:t>
      </w:r>
      <w:r>
        <w:rPr>
          <w:color w:val="334155"/>
        </w:rPr>
        <w:t xml:space="preserve">High-speed single-window intake form for on-the-spot walk-in admissions, immediately generating registration numbers and fee receipts.</w:t>
      </w:r>
    </w:p>
    <w:p>
      <w:pPr>
        <w:pStyle w:val="ListParagraph"/>
        <w:numPr>
          <w:ilvl w:val="0"/>
          <w:numId w:val="1"/>
        </w:numPr>
        <w:spacing w:before="40" w:after="60"/>
      </w:pPr>
      <w:r>
        <w:rPr>
          <w:b/>
          <w:bCs/>
          <w:color w:val="0F3460"/>
        </w:rPr>
        <w:t xml:space="preserve">20. Bulk Management &amp; Data Tools: </w:t>
      </w:r>
      <w:r>
        <w:rPr>
          <w:color w:val="334155"/>
        </w:rPr>
        <w:t xml:space="preserve">Batch operations console for bulk status approvals, batch roll assignments, mass photo assignments, and multi-format data exports.</w:t>
      </w:r>
    </w:p>
    <w:p>
      <w:pPr>
        <w:spacing w:before="160"/>
      </w:pPr>
    </w:p>
    <w:p>
      <w:pPr>
        <w:pStyle w:val="Heading1"/>
        <w:spacing w:before="280" w:after="120"/>
      </w:pPr>
      <w:r>
        <w:t xml:space="preserve">Advanced Display, Data Safety &amp; Print Controls</w:t>
      </w:r>
    </w:p>
    <w:p>
      <w:pPr>
        <w:pStyle w:val="ListParagraph"/>
        <w:numPr>
          <w:ilvl w:val="0"/>
          <w:numId w:val="1"/>
        </w:numPr>
        <w:spacing w:before="40" w:after="60"/>
      </w:pPr>
      <w:r>
        <w:rPr>
          <w:b/>
          <w:bCs/>
          <w:color w:val="0F3460"/>
        </w:rPr>
        <w:t xml:space="preserve">Multi-Density Table Display (Fit / Compact / Normal): </w:t>
      </w:r>
      <w:r>
        <w:rPr>
          <w:color w:val="334155"/>
        </w:rPr>
        <w:t xml:space="preserve">Enables administrative staff to adjust screen data density. "Compact" and "Fit" modes display 100+ student rows on standard office monitors simultaneously without excessive vertical scrolling.</w:t>
      </w:r>
    </w:p>
    <w:p>
      <w:pPr>
        <w:pStyle w:val="ListParagraph"/>
        <w:numPr>
          <w:ilvl w:val="0"/>
          <w:numId w:val="1"/>
        </w:numPr>
        <w:spacing w:before="40" w:after="60"/>
      </w:pPr>
      <w:r>
        <w:rPr>
          <w:b/>
          <w:bCs/>
          <w:color w:val="0F3460"/>
        </w:rPr>
        <w:t xml:space="preserve">Manage Table Columns (Custom Column Views): </w:t>
      </w:r>
      <w:r>
        <w:rPr>
          <w:color w:val="334155"/>
        </w:rPr>
        <w:t xml:space="preserve">Allows administrators to toggle any column (Aadhaar, Parentage, Blood Group, Stream, Roll No, Fees) on or off, generating tailored printouts or exports in seconds.</w:t>
      </w:r>
    </w:p>
    <w:p>
      <w:pPr>
        <w:pStyle w:val="ListParagraph"/>
        <w:numPr>
          <w:ilvl w:val="0"/>
          <w:numId w:val="1"/>
        </w:numPr>
        <w:spacing w:before="40" w:after="60"/>
      </w:pPr>
      <w:r>
        <w:rPr>
          <w:b/>
          <w:bCs/>
          <w:color w:val="0F3460"/>
        </w:rPr>
        <w:t xml:space="preserve">90-Day Protected Recycle Bin: </w:t>
      </w:r>
      <w:r>
        <w:rPr>
          <w:color w:val="334155"/>
        </w:rPr>
        <w:t xml:space="preserve">Enterprise safety net that quarantines deleted records for 90 days. Accidental deletions can be restored with a single click, completely eliminating the fear of human error or data loss.</w:t>
      </w:r>
    </w:p>
    <w:p>
      <w:pPr>
        <w:pStyle w:val="ListParagraph"/>
        <w:numPr>
          <w:ilvl w:val="0"/>
          <w:numId w:val="1"/>
        </w:numPr>
        <w:spacing w:before="40" w:after="60"/>
      </w:pPr>
      <w:r>
        <w:rPr>
          <w:b/>
          <w:bCs/>
          <w:color w:val="0F3460"/>
        </w:rPr>
        <w:t xml:space="preserve">Real-Time Force Sync Engine: </w:t>
      </w:r>
      <w:r>
        <w:rPr>
          <w:color w:val="334155"/>
        </w:rPr>
        <w:t xml:space="preserve">Invalidates client cache and pulls live updates directly from Google Cloud Firestore, ensuring instant data synchronization across multiple school computers.</w:t>
      </w:r>
    </w:p>
    <w:p>
      <w:pPr>
        <w:spacing w:before="160"/>
      </w:pPr>
    </w:p>
    <w:p>
      <w:pPr>
        <w:pStyle w:val="Heading1"/>
        <w:spacing w:before="280" w:after="120"/>
      </w:pPr>
      <w:r>
        <w:t xml:space="preserve">Modern UI, Lightning Speed &amp; Institutional-Grade Security</w:t>
      </w:r>
    </w:p>
    <w:p>
      <w:pPr>
        <w:pStyle w:val="ListParagraph"/>
        <w:numPr>
          <w:ilvl w:val="0"/>
          <w:numId w:val="1"/>
        </w:numPr>
        <w:spacing w:before="40" w:after="60"/>
      </w:pPr>
      <w:r>
        <w:rPr>
          <w:b/>
          <w:bCs/>
          <w:color w:val="0F3460"/>
        </w:rPr>
        <w:t xml:space="preserve">User Experience (UI/UX): </w:t>
      </w:r>
      <w:r>
        <w:rPr>
          <w:color w:val="334155"/>
        </w:rPr>
        <w:t xml:space="preserve">Built with React 19 and Tailwind CSS. Modern, mobile-responsive layout designed for smartphones used by 95% of Shangus parents and students. Deep Navy (#0F3460) and Emerald (#047857) color palette provides an authoritative institutional appearance.</w:t>
      </w:r>
    </w:p>
    <w:p>
      <w:pPr>
        <w:pStyle w:val="ListParagraph"/>
        <w:numPr>
          <w:ilvl w:val="0"/>
          <w:numId w:val="1"/>
        </w:numPr>
        <w:spacing w:before="40" w:after="60"/>
      </w:pPr>
      <w:r>
        <w:rPr>
          <w:b/>
          <w:bCs/>
          <w:color w:val="0F3460"/>
        </w:rPr>
        <w:t xml:space="preserve">Sub-Second Performance (&lt;100ms): </w:t>
      </w:r>
      <w:r>
        <w:rPr>
          <w:color w:val="334155"/>
        </w:rPr>
        <w:t xml:space="preserve">Single Page Application (SPA) architecture with zero page-reload lag. PDF, Word documents, and ID cards compile locally inside browser memory in under 1 second without server delays.</w:t>
      </w:r>
    </w:p>
    <w:p>
      <w:pPr>
        <w:pStyle w:val="ListParagraph"/>
        <w:numPr>
          <w:ilvl w:val="0"/>
          <w:numId w:val="1"/>
        </w:numPr>
        <w:spacing w:before="40" w:after="60"/>
      </w:pPr>
      <w:r>
        <w:rPr>
          <w:b/>
          <w:bCs/>
          <w:color w:val="0F3460"/>
        </w:rPr>
        <w:t xml:space="preserve">Zero-Trust Role-Based Access Control (RBAC): </w:t>
      </w:r>
      <w:r>
        <w:rPr>
          <w:color w:val="334155"/>
        </w:rPr>
        <w:t xml:space="preserve">Strict privilege boundaries: students see only their own portal; subject teachers only access practical awards; only authenticated administrators can alter global registers.</w:t>
      </w:r>
    </w:p>
    <w:p>
      <w:pPr>
        <w:pStyle w:val="ListParagraph"/>
        <w:numPr>
          <w:ilvl w:val="0"/>
          <w:numId w:val="1"/>
        </w:numPr>
        <w:spacing w:before="40" w:after="60"/>
      </w:pPr>
      <w:r>
        <w:rPr>
          <w:b/>
          <w:bCs/>
          <w:color w:val="0F3460"/>
        </w:rPr>
        <w:t xml:space="preserve">Cloud Security &amp; Immutable Audit Logs: </w:t>
      </w:r>
      <w:r>
        <w:rPr>
          <w:color w:val="334155"/>
        </w:rPr>
        <w:t xml:space="preserve">Direct database rule enforcement via Firestore Rules. Every admin edit, marks modification, or certificate generation is immutably logged with timestamp, operator name, and IP address.</w:t>
      </w:r>
    </w:p>
    <w:p>
      <w:pPr>
        <w:spacing w:before="160"/>
      </w:pPr>
    </w:p>
    <w:p>
      <w:pPr>
        <w:pStyle w:val="Heading1"/>
        <w:spacing w:before="280" w:after="120"/>
      </w:pPr>
      <w:r>
        <w:t xml:space="preserve">Financial &amp; Operational Return on Investment (ROI)</w:t>
      </w:r>
    </w:p>
    <w:p>
      <w:pPr>
        <w:pStyle w:val="ListParagraph"/>
        <w:numPr>
          <w:ilvl w:val="0"/>
          <w:numId w:val="1"/>
        </w:numPr>
        <w:spacing w:before="40" w:after="60"/>
      </w:pPr>
      <w:r>
        <w:rPr>
          <w:b/>
          <w:bCs/>
          <w:color w:val="0F3460"/>
        </w:rPr>
        <w:t xml:space="preserve">₹0 Annual Software Licensing: </w:t>
      </w:r>
      <w:r>
        <w:rPr>
          <w:color w:val="334155"/>
        </w:rPr>
        <w:t xml:space="preserve">Saves GHSS Shangus between ₹75,000 to ₹1,80,000 annually compared to proprietary third-party school ERP software.</w:t>
      </w:r>
    </w:p>
    <w:p>
      <w:pPr>
        <w:pStyle w:val="ListParagraph"/>
        <w:numPr>
          <w:ilvl w:val="0"/>
          <w:numId w:val="1"/>
        </w:numPr>
        <w:spacing w:before="40" w:after="60"/>
      </w:pPr>
      <w:r>
        <w:rPr>
          <w:b/>
          <w:bCs/>
          <w:color w:val="0F3460"/>
        </w:rPr>
        <w:t xml:space="preserve">350+ Man-Hours Saved Annually: </w:t>
      </w:r>
      <w:r>
        <w:rPr>
          <w:color w:val="334155"/>
        </w:rPr>
        <w:t xml:space="preserve">Automated collation of registers, roll lists, sent-up sheets, and ID cards saves weeks of clerical labor for teaching and administrative staff.</w:t>
      </w:r>
    </w:p>
    <w:p>
      <w:pPr>
        <w:pStyle w:val="ListParagraph"/>
        <w:numPr>
          <w:ilvl w:val="0"/>
          <w:numId w:val="1"/>
        </w:numPr>
        <w:spacing w:before="40" w:after="60"/>
      </w:pPr>
      <w:r>
        <w:rPr>
          <w:b/>
          <w:bCs/>
          <w:color w:val="0F3460"/>
        </w:rPr>
        <w:t xml:space="preserve">Prestige &amp; Technological Leadership: </w:t>
      </w:r>
      <w:r>
        <w:rPr>
          <w:color w:val="334155"/>
        </w:rPr>
        <w:t xml:space="preserve">Establishes GHSS Shangus as a premier technology-driven institution in Jammu &amp; Kashmir.</w:t>
      </w:r>
    </w:p>
    <w:p>
      <w:pPr>
        <w:spacing w:before="140"/>
      </w:pPr>
    </w:p>
    <w:tbl>
      <w:tblPr>
        <w:tblW w:type="pct" w:w="100%"/>
        <w:tblBorders>
          <w:top w:val="none"/>
          <w:left w:val="single" w:color="047857" w:sz="24"/>
          <w:bottom w:val="none"/>
          <w:right w:val="none"/>
          <w:insideH w:val="single" w:color="auto" w:sz="4"/>
          <w:insideV w:val="single" w:color="auto" w:sz="4"/>
        </w:tblBorders>
      </w:tblPr>
      <w:tblGrid>
        <w:gridCol w:w="100"/>
      </w:tblGrid>
      <w:tr>
        <w:tc>
          <w:tcPr>
            <w:shd w:fill="ECFDF5" w:val="clear"/>
            <w:tcMar>
              <w:top w:type="dxa" w:w="120"/>
              <w:left w:type="dxa" w:w="180"/>
              <w:bottom w:type="dxa" w:w="120"/>
              <w:right w:type="dxa" w:w="180"/>
            </w:tcMar>
          </w:tcPr>
          <w:p>
            <w:r>
              <w:rPr>
                <w:b/>
                <w:bCs/>
                <w:color w:val="065F46"/>
                <w:sz w:val="22"/>
                <w:szCs w:val="22"/>
              </w:rPr>
              <w:t xml:space="preserve">FORMAL RECOMMENDATION FOR THE PRINCIPAL</w:t>
            </w:r>
          </w:p>
          <w:p>
            <w:pPr>
              <w:spacing w:before="40"/>
            </w:pPr>
            <w:r>
              <w:rPr>
                <w:color w:val="1E293B"/>
                <w:sz w:val="20"/>
                <w:szCs w:val="20"/>
              </w:rPr>
              <w:t xml:space="preserve">It is respectfully submitted that the Office of the Principal officially endorse and mandate this unified digital platform for all academic intakes, practical evaluations, and institutional correspondence. This ensures absolute record integrity, saves valuable staff time, and cements GHSS Shangus’s status as a pioneer in digital education.</w:t>
            </w:r>
          </w:p>
        </w:tc>
      </w:tr>
    </w:tbl>
    <w:sectPr>
      <w:headerReference w:type="default" r:id="rId6"/>
      <w:footerReference w:type="default" r:id="rId7"/>
      <w:pgSz w:w="11906" w:h="16838" w:orient="portrait"/>
      <w:pgMar w:top="10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94A3B8"/>
        <w:sz w:val="15"/>
        <w:szCs w:val="15"/>
      </w:rPr>
      <w:t xml:space="preserve">Confidential • Office of the Principal • GHSS Shangus</w:t>
    </w:r>
    <w:r>
      <w:rPr>
        <w:color w:val="94A3B8"/>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64748B"/>
        <w:sz w:val="15"/>
        <w:szCs w:val="15"/>
      </w:rPr>
      <w:t xml:space="preserve">GOVT. HIGHER SECONDARY SCHOOL SHANGUS • ADMINISTRATIVE PLATFORM DOSSIER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E293B"/>
        <w:sz w:val="20"/>
        <w:szCs w:val="20"/>
        <w:rFonts w:ascii="Arial" w:cs="Arial" w:eastAsia="Arial" w:hAnsi="Arial"/>
      </w:rPr>
    </w:rPrDefault>
    <w:pPrDefault>
      <w:pPr>
        <w:spacing w:line="260" w:after="1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Executive Platform Dossier for the Principal - GHSS Shangus</dc:title>
  <dc:creator>Technical Architecture &amp; Portal Development Team</dc:creator>
  <dc:description>Comprehensive classified breakdown of all 20 administrative modules, historical ledger digitization since 2006, UI/UX, speed, security, and ROI.</dc:description>
  <cp:lastModifiedBy>Un-named</cp:lastModifiedBy>
  <cp:revision>1</cp:revision>
  <dcterms:created xsi:type="dcterms:W3CDTF">2026-09-18T11:35:02.238Z</dcterms:created>
  <dcterms:modified xsi:type="dcterms:W3CDTF">2026-09-18T11:35:02.239Z</dcterms:modified>
</cp:coreProperties>
</file>

<file path=docProps/custom.xml><?xml version="1.0" encoding="utf-8"?>
<Properties xmlns="http://schemas.openxmlformats.org/officeDocument/2006/custom-properties" xmlns:vt="http://schemas.openxmlformats.org/officeDocument/2006/docPropsVTypes"/>
</file>