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AirWise Technical Implementation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LL97 Compliance Engine + Ventilation Monitoring and Supervised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2026-04-14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 AirWise as a multi-tenant SaaS platform with two product engines on top of a shared building graph: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`Compliance engine`: determines LL97 coverage, pathway, filing requirements, evidence state, deadlines, and risk for each building.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`Monitoring/control engine`: reads ventilation-related telemetry, detects operational issues, recommends actions, and later supports limited supervised BACnet write-back for approved 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initial customer is a `NYC owner / asset manager` operating a multifamily or affordable portfolio. The initial pilot should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320 buildings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321 buildings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portfolio-level compliance ranking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building-level workspaces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ventilation issue detection in centrally controlled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operator action tracking and before/after measurement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Product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 scope for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 identity resolution by `BBL + BIN + address`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Covered-building and pathway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320 filing-readiness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321 performance and PECM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Evidence/document management tied to compliance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Portfolio dashboard and building scorecards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Sensor ingestion and BACnet discovery/read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Deterministic ventilation issue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Recommendation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Supervised write-back for whitelisted points in pilot buildings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Out of scope for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Free-form legal/compliance advice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Fully autonomous closed-loop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Broad protocol support beyond BACnet-first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Apartment-local fan optimization without central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inference of Article 321 PECM compliance from sensors alone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Article 320 deduction/alternative logic beyond structured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A["Owner / Portfolio Data"] --&gt; D["Ingestion Layer"]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B["NYC Public Data&lt;br/&gt;CBL, limits, guidance references"] --&gt; 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C["Sensors / BAS / Gateways"] --&gt; 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 --&gt; E["Canonical Building Graph"]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 --&gt; F["Compliance Engine"]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 --&gt; G["Monitoring &amp; Control Engine"]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 --&gt; H["Document / Evidence Store"]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 --&gt; I["Portfolio Compliance View"]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 --&gt; J["Building Compliance Workspace"]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 --&gt; K["Ventilation Issues"]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 --&gt; L["Recommendations"]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 --&gt; M["Supervised Commands"]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 --&gt; 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H --&gt; 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Core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`Identity service`: resolves buildings and owners across public and customer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`Coverage service`: determines LL97 pathway and confidence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`Compliance service`: generates requirements, due dates, checklists, and penalty calculations.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`Document service`: stores raw documents, extracted metadata, and evidence links.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`Telemetry service`: ingests raw sensor and BAS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`BAS service`: discovers and normalizes BACnet devices and 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`Issue service`: produces ventilation issues from telemetry and schedules.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`Recommendation service`: turns issues into actions and tracks outcomes.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`Command service`: handles approval-based BAS writes, rollback, and audit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Delivery phases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0: Requirements and pilot archetypes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Duration: `2-3 weeks`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LL97 rules matrix for Article 320 and 321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 pathway mapping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 archetype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ventilation system archetype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BACnet point taxonomy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command safety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intake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Exit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every pilot building can be mapped to a pathway and a ventilation archetype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writable points can be identified before any write-back feature is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1: Building graph + compliance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Duration: `4-6 weeks`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portfolio import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 identity 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covered-building and pathway resolver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 requirements generator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 compliance workspace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 upload and evidence binding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portfolio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Exit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buildings can be imported and rendered in a compliance workspace without manual spreadsheets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building shows pathway, next steps, blocker list, and evidence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2: Monitoring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Duration: `4-6 weeks`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sensor ingestion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BACnet discovery/read adapter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time-series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issue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recommendation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before/after measurement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Exit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pilot building produces real ventilation issues with evidence and operator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3: Supervised control pilot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Duration: `4-6 weeks`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whitelisted point registry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approval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command execution with rollback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point-level audit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building-specific write policies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Exit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temporary approved schedule/setpoint write can be executed, verified, and rolled back safely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4: Productization and rollout decision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Duration: `4 weeks`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results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recommendation conversion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operator adoption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decision memo on Modbus support and broader automation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Exit criteria: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measurable workflow value is proven before broader control automation is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Initial technical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MVP stack: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`Frontend`: Next.js +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`Backend API`: Node.js /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`Database`: Postgres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`Object storage`: S3-compatible bucket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`Time-series`: Postgres hypertables or TimescaleDB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`Queue / jobs`: BullMQ or equivalent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`Auth`: managed auth with tenant-aware RBAC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`Observability`: structured logs, traces, metric dashboards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implementation should favor product speed and auditability over distributed-system complexity.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Key engineering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deterministic rules for compliance and issue detection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Represent uncertainty explicitly with `confidence`, `source`, and `missing inputs`.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all filing-related dates and rule parameters in configuration tables, not hardcoded logic.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Treat `BBL` as the lot-level key and `BIN` as the building-level key; keep both.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Treat BACnet writes as privileged, reversible operations with full audit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imply AirWise is the certifying authority; licensed professionals remain in the loop.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implementation is ready for pilot when: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portfolio can be imported and automatically resolved to pathways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320 and Article 321 workspaces are usable on real buildings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least one ventilation system can be monitored end-to-end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recommendations can be assigned, executed by operators, and measured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write-back remains disabled by default and only works for approved pilot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Source anchors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implementation should be anchored on official DOB/HPD materials and treated as configuration-driven so updates can be absorbed without code rewrites.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LL97 overview: &lt;https://www.nyc.gov/site/buildings/codes/ll97-greenhouse-gas-emissions-reductions.page&gt;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Emissions limits: &lt;https://www.nyc.gov/site/buildings/codes/ll97-buildings-emissions-limits.page&gt;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Covered buildings FAQ / pathway tiers: &lt;https://www.nyc.gov/site/buildings/codes/ll97-cbl-faq.page&gt;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Violations and penalties: &lt;https://www.nyc.gov/site/buildings/codes/greenhouse-gas-emissions-reductions-violations.page&gt;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LL97 compliance report process: &lt;https://www.nyc.gov/assets/buildings/pdf/ll97-compliance-report-process.pdf&gt;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321 filing guide: &lt;https://www.nyc.gov/assets/buildings/pdf/321_filing_guide.pdf&gt;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321 template instructions: &lt;https://www.nyc.gov/assets/buildings/pdf/article321_temp_instr.pdf&gt;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HPD affordable housing guidance: &lt;https://www.nyc.gov/site/hpd/services-and-information/ll97-guidance-for-affordable-housing.page&gt;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- 2026 Covered Buildings List reference: &lt;https://home4.nyc.gov/assets/buildings/pdf/cbl_mn26.pdf&gt;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ASHRAE control guidance for DCV concepts: &lt;https://handbook.ashrae.org/Handbooks/A19/SI/a19_ch48/a19_ch48_si.aspx&gt;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