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pPr>
      <w:r>
        <w:rPr>
          <w:rFonts w:ascii="Calibri" w:hAnsi="Calibri"/>
          <w:b/>
          <w:i w:val="0"/>
          <w:color w:val="2AA7A1"/>
          <w:sz w:val="24"/>
        </w:rPr>
        <w:t>EmoScreen</w:t>
      </w:r>
    </w:p>
    <w:p>
      <w:pPr>
        <w:spacing w:after="120" w:line="300" w:lineRule="auto"/>
      </w:pPr>
      <w:r>
        <w:rPr>
          <w:rFonts w:ascii="Calibri" w:hAnsi="Calibri"/>
          <w:b/>
          <w:i w:val="0"/>
          <w:color w:val="2F3E9E"/>
          <w:sz w:val="56"/>
        </w:rPr>
        <w:t>End-to-End Testing Guide</w:t>
      </w:r>
    </w:p>
    <w:p>
      <w:pPr>
        <w:spacing w:after="280" w:line="300" w:lineRule="auto"/>
      </w:pPr>
      <w:r>
        <w:rPr>
          <w:rFonts w:ascii="Calibri" w:hAnsi="Calibri"/>
          <w:b w:val="0"/>
          <w:i w:val="0"/>
          <w:color w:val="6B7C93"/>
          <w:sz w:val="28"/>
        </w:rPr>
        <w:t>A user-oriented walkthrough for recruitment, doctor sharing, parent completion, reports, and support tracking</w:t>
      </w:r>
    </w:p>
    <w:tbl>
      <w:tblPr>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Audience</w:t>
            </w:r>
          </w:p>
        </w:tc>
        <w:tc>
          <w:tcPr>
            <w:tcW w:type="dxa" w:w="75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Clinic teams, pediatricians, caregivers, support users, and UAT testers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Scope</w:t>
            </w:r>
          </w:p>
        </w:tc>
        <w:tc>
          <w:tcPr>
            <w:tcW w:type="dxa" w:w="75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Admin doctor recruitment, doctor Google-gated sharing, paid parent flow, free multilingual parent flow, self-screening, reports, and audit visibility</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Environment</w:t>
            </w:r>
          </w:p>
        </w:tc>
        <w:tc>
          <w:tcPr>
            <w:tcW w:type="dxa" w:w="75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Written as a live-system walkthrough. Screenshots were captured from the local UAT system.</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Guide date</w:t>
            </w:r>
          </w:p>
        </w:tc>
        <w:tc>
          <w:tcPr>
            <w:tcW w:type="dxa" w:w="75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June 19, 2026</w:t>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AF7F7"/>
          </w:tcPr>
          <w:p>
            <w:pPr>
              <w:spacing w:after="80"/>
            </w:pPr>
            <w:r>
              <w:rPr>
                <w:rFonts w:ascii="Calibri" w:hAnsi="Calibri"/>
                <w:b/>
                <w:color w:val="2AA7A1"/>
                <w:sz w:val="22"/>
              </w:rPr>
              <w:t>How to read this guide</w:t>
            </w:r>
          </w:p>
          <w:p>
            <w:pPr>
              <w:spacing w:line="300" w:lineRule="auto"/>
            </w:pPr>
            <w:r>
              <w:rPr>
                <w:rFonts w:ascii="Calibri" w:hAnsi="Calibri"/>
                <w:color w:val="1F2D3D"/>
                <w:sz w:val="21"/>
              </w:rPr>
              <w:t>Follow the screens in order. On each screen, perform the listed action and confirm the expected result before moving ahead. For live production, use the production domain and authorized accounts. For local UAT, the payment screen uses the dummy payment button instead of live Razorpay.</w:t>
            </w:r>
          </w:p>
        </w:tc>
      </w:tr>
    </w:tbl>
    <w:p/>
    <w:p>
      <w:pPr>
        <w:pStyle w:val="Heading1"/>
        <w:spacing w:before="360" w:after="200"/>
      </w:pPr>
      <w:r>
        <w:rPr>
          <w:rFonts w:ascii="Calibri" w:hAnsi="Calibri"/>
          <w:b/>
          <w:color w:val="2F3E9E"/>
          <w:sz w:val="32"/>
        </w:rPr>
        <w:t>1. Test Overview</w:t>
      </w:r>
    </w:p>
    <w:p>
      <w:pPr>
        <w:spacing w:after="120" w:line="300" w:lineRule="auto"/>
      </w:pPr>
      <w:r>
        <w:rPr>
          <w:rFonts w:ascii="Calibri" w:hAnsi="Calibri"/>
          <w:b w:val="0"/>
          <w:i w:val="0"/>
          <w:color w:val="1F2D3D"/>
          <w:sz w:val="22"/>
        </w:rPr>
        <w:t>This guide walks a tester through EmoScreen as separate real users experience it: public visitor, admin, recruited doctor, parent, and support user.</w:t>
      </w:r>
    </w:p>
    <w:p>
      <w:pPr>
        <w:pStyle w:val="ListBullet"/>
        <w:spacing w:after="80" w:line="300" w:lineRule="auto"/>
        <w:ind w:left="540" w:hanging="271"/>
      </w:pPr>
      <w:r>
        <w:rPr>
          <w:rFonts w:ascii="Calibri" w:hAnsi="Calibri"/>
          <w:color w:val="1F2D3D"/>
          <w:sz w:val="21"/>
        </w:rPr>
        <w:t>Public visitors enter from the normal EmoScreen home page.</w:t>
      </w:r>
    </w:p>
    <w:p>
      <w:pPr>
        <w:pStyle w:val="ListBullet"/>
        <w:spacing w:after="80" w:line="300" w:lineRule="auto"/>
        <w:ind w:left="540" w:hanging="271"/>
      </w:pPr>
      <w:r>
        <w:rPr>
          <w:rFonts w:ascii="Calibri" w:hAnsi="Calibri"/>
          <w:color w:val="1F2D3D"/>
          <w:sz w:val="21"/>
        </w:rPr>
        <w:t>Admins enter separately through Django admin and recruitment tools.</w:t>
      </w:r>
    </w:p>
    <w:p>
      <w:pPr>
        <w:pStyle w:val="ListBullet"/>
        <w:spacing w:after="80" w:line="300" w:lineRule="auto"/>
        <w:ind w:left="540" w:hanging="271"/>
      </w:pPr>
      <w:r>
        <w:rPr>
          <w:rFonts w:ascii="Calibri" w:hAnsi="Calibri"/>
          <w:color w:val="1F2D3D"/>
          <w:sz w:val="21"/>
        </w:rPr>
        <w:t>Doctors do not use admin login for their clinical workflow; they open their clinic link and sign in with the registered Google email.</w:t>
      </w:r>
    </w:p>
    <w:p>
      <w:pPr>
        <w:pStyle w:val="ListBullet"/>
        <w:spacing w:after="80" w:line="300" w:lineRule="auto"/>
        <w:ind w:left="540" w:hanging="271"/>
      </w:pPr>
      <w:r>
        <w:rPr>
          <w:rFonts w:ascii="Calibri" w:hAnsi="Calibri"/>
          <w:color w:val="1F2D3D"/>
          <w:sz w:val="21"/>
        </w:rPr>
        <w:t>Parents follow only the paid, free, or self-screening journey they received.</w:t>
      </w:r>
    </w:p>
    <w:p>
      <w:pPr>
        <w:pStyle w:val="ListBullet"/>
        <w:spacing w:after="80" w:line="300" w:lineRule="auto"/>
        <w:ind w:left="540" w:hanging="271"/>
      </w:pPr>
      <w:r>
        <w:rPr>
          <w:rFonts w:ascii="Calibri" w:hAnsi="Calibri"/>
          <w:color w:val="1F2D3D"/>
          <w:sz w:val="21"/>
        </w:rPr>
        <w:t>Support users verify delivery, payment, submission, and report status in the workflow audit dashboard.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AF7F7"/>
          </w:tcPr>
          <w:p>
            <w:pPr>
              <w:spacing w:after="80"/>
            </w:pPr>
            <w:r>
              <w:rPr>
                <w:rFonts w:ascii="Calibri" w:hAnsi="Calibri"/>
                <w:b/>
                <w:color w:val="2AA7A1"/>
                <w:sz w:val="22"/>
              </w:rPr>
              <w:t>Role separation rule</w:t>
            </w:r>
          </w:p>
          <w:p>
            <w:pPr>
              <w:spacing w:line="300" w:lineRule="auto"/>
            </w:pPr>
            <w:r>
              <w:rPr>
                <w:rFonts w:ascii="Calibri" w:hAnsi="Calibri"/>
                <w:color w:val="1F2D3D"/>
                <w:sz w:val="21"/>
              </w:rPr>
              <w:t>Do not test doctor sharing from the Django admin dashboard. Admin is for recruitment/support. Doctor sharing starts from the doctor clinic link received after recruitment.</w:t>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AF7F7"/>
          </w:tcPr>
          <w:p>
            <w:pPr>
              <w:spacing w:after="80"/>
            </w:pPr>
            <w:r>
              <w:rPr>
                <w:rFonts w:ascii="Calibri" w:hAnsi="Calibri"/>
                <w:b/>
                <w:color w:val="2AA7A1"/>
                <w:sz w:val="22"/>
              </w:rPr>
              <w:t>Payment note for UAT</w:t>
            </w:r>
          </w:p>
          <w:p>
            <w:pPr>
              <w:spacing w:line="300" w:lineRule="auto"/>
            </w:pPr>
            <w:r>
              <w:rPr>
                <w:rFonts w:ascii="Calibri" w:hAnsi="Calibri"/>
                <w:color w:val="1F2D3D"/>
                <w:sz w:val="21"/>
              </w:rPr>
              <w:t>The live system should use Razorpay for paid forms. In this local UAT guide, the screen uses Complete Dummy Payment so testers can validate the full journey without moving real money.</w:t>
            </w:r>
          </w:p>
        </w:tc>
      </w:tr>
    </w:tbl>
    <w:p/>
    <w:p>
      <w:pPr>
        <w:pStyle w:val="Heading2"/>
        <w:spacing w:before="280" w:after="140"/>
      </w:pPr>
      <w:r>
        <w:rPr>
          <w:rFonts w:ascii="Calibri" w:hAnsi="Calibri"/>
          <w:b/>
          <w:color w:val="2F3E9E"/>
          <w:sz w:val="26"/>
        </w:rPr>
        <w:t>Entry points</w:t>
      </w:r>
    </w:p>
    <w:tbl>
      <w:tblPr>
        <w:tblW w:type="dxa" w:w="9360"/>
        <w:jc w:val="left"/>
        <w:tblLayout w:type="fixed"/>
        <w:tblLook w:firstColumn="1" w:firstRow="1" w:lastColumn="0" w:lastRow="0" w:noHBand="0" w:noVBand="1" w:val="04A0"/>
        <w:tblInd w:w="120" w:type="dxa"/>
      </w:tblPr>
      <w:tblGrid>
        <w:gridCol w:w="2200"/>
        <w:gridCol w:w="3300"/>
        <w:gridCol w:w="3860"/>
      </w:tblGrid>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User</w:t>
            </w:r>
          </w:p>
        </w:tc>
        <w:tc>
          <w:tcPr>
            <w:tcW w:type="dxa" w:w="3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Live-style entry</w:t>
            </w:r>
          </w:p>
        </w:tc>
        <w:tc>
          <w:tcPr>
            <w:tcW w:type="dxa" w:w="38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Purpose</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Normal user / parent</w:t>
            </w:r>
          </w:p>
        </w:tc>
        <w:tc>
          <w:tcPr>
            <w:tcW w:type="dxa" w:w="3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https://emo.cpdinclinic.co.in/</w:t>
            </w:r>
          </w:p>
        </w:tc>
        <w:tc>
          <w:tcPr>
            <w:tcW w:type="dxa" w:w="38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Public landing and patient start points</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Admin / support</w:t>
            </w:r>
          </w:p>
        </w:tc>
        <w:tc>
          <w:tcPr>
            <w:tcW w:type="dxa" w:w="3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https://emo.cpdinclinic.co.in/admin/</w:t>
            </w:r>
          </w:p>
        </w:tc>
        <w:tc>
          <w:tcPr>
            <w:tcW w:type="dxa" w:w="38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Django admin, doctor recruitment, reports, and staff-only tools</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Doctor</w:t>
            </w:r>
          </w:p>
        </w:tc>
        <w:tc>
          <w:tcPr>
            <w:tcW w:type="dxa" w:w="3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https://emo.cpdinclinic.co.in/admin/bulk-upload/clinic/C488DF49/</w:t>
            </w:r>
          </w:p>
        </w:tc>
        <w:tc>
          <w:tcPr>
            <w:tcW w:type="dxa" w:w="38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Google-gated clinic console sent to the recruited doctor</w:t>
            </w:r>
          </w:p>
        </w:tc>
      </w:tr>
    </w:tbl>
    <w:p/>
    <w:p>
      <w:pPr>
        <w:pStyle w:val="Heading2"/>
        <w:spacing w:before="280" w:after="140"/>
      </w:pPr>
      <w:r>
        <w:rPr>
          <w:rFonts w:ascii="Calibri" w:hAnsi="Calibri"/>
          <w:b/>
          <w:color w:val="2F3E9E"/>
          <w:sz w:val="26"/>
        </w:rPr>
        <w:t>Sample UAT details</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Doctor workspace</w:t>
            </w:r>
          </w:p>
        </w:tc>
        <w:tc>
          <w:tcPr>
            <w:tcW w:type="dxa" w:w="7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Dr Codex QA, doctor code C488DF49</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Paid sample patient</w:t>
            </w:r>
          </w:p>
        </w:tc>
        <w:tc>
          <w:tcPr>
            <w:tcW w:type="dxa" w:w="7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Aarav Guide Test</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Free sample patient</w:t>
            </w:r>
          </w:p>
        </w:tc>
        <w:tc>
          <w:tcPr>
            <w:tcW w:type="dxa" w:w="7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Meera Free Guide</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Paid workflow case</w:t>
            </w:r>
          </w:p>
        </w:tc>
        <w:tc>
          <w:tcPr>
            <w:tcW w:type="dxa" w:w="7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WF72EFAA234D9C</w:t>
            </w:r>
          </w:p>
        </w:tc>
      </w:tr>
      <w:tr>
        <w:trPr>
          <w:cantSplit/>
        </w:trPr>
        <w:tc>
          <w:tcPr>
            <w:tcW w:type="dxa" w:w="22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b/>
              </w:rPr>
              <w:t>Free workflow case</w:t>
            </w:r>
          </w:p>
        </w:tc>
        <w:tc>
          <w:tcPr>
            <w:tcW w:type="dxa" w:w="7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t>WF8A30966DCFCB</w:t>
            </w:r>
          </w:p>
        </w:tc>
      </w:tr>
    </w:tbl>
    <w:p>
      <w:pPr>
        <w:pStyle w:val="Heading1"/>
        <w:spacing w:before="360" w:after="200"/>
      </w:pPr>
      <w:r>
        <w:rPr>
          <w:rFonts w:ascii="Calibri" w:hAnsi="Calibri"/>
          <w:b/>
          <w:color w:val="2F3E9E"/>
          <w:sz w:val="32"/>
        </w:rPr>
        <w:t>2. Public Entry</w:t>
      </w:r>
    </w:p>
    <w:p>
      <w:pPr>
        <w:pStyle w:val="Heading3"/>
        <w:spacing w:before="200" w:after="100"/>
      </w:pPr>
      <w:r>
        <w:rPr>
          <w:rFonts w:ascii="Calibri" w:hAnsi="Calibri"/>
          <w:b/>
          <w:color w:val="1F4D78"/>
          <w:sz w:val="24"/>
        </w:rPr>
        <w:t>Public User Entry</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Open the normal EmoScreen entry page. Use this only for public registration, public start, or self-screening routes.</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public page is reachable without staff/admin credentials and does not replace the staff admin entry.</w:t>
            </w:r>
          </w:p>
        </w:tc>
      </w:tr>
    </w:tbl>
    <w:p/>
    <w:p>
      <w:pPr>
        <w:jc w:val="center"/>
      </w:pPr>
      <w:r>
        <w:drawing>
          <wp:inline xmlns:a="http://schemas.openxmlformats.org/drawingml/2006/main" xmlns:pic="http://schemas.openxmlformats.org/drawingml/2006/picture">
            <wp:extent cx="5257800" cy="3833812"/>
            <wp:docPr id="1" name="Picture 1"/>
            <wp:cNvGraphicFramePr>
              <a:graphicFrameLocks noChangeAspect="1"/>
            </wp:cNvGraphicFramePr>
            <a:graphic>
              <a:graphicData uri="http://schemas.openxmlformats.org/drawingml/2006/picture">
                <pic:pic>
                  <pic:nvPicPr>
                    <pic:cNvPr id="0" name="02-public-entry.png"/>
                    <pic:cNvPicPr/>
                  </pic:nvPicPr>
                  <pic:blipFill>
                    <a:blip r:embed="rId11"/>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Public User Entry</w:t>
      </w:r>
    </w:p>
    <w:p>
      <w:pPr>
        <w:pStyle w:val="Heading1"/>
        <w:spacing w:before="360" w:after="200"/>
      </w:pPr>
      <w:r>
        <w:rPr>
          <w:rFonts w:ascii="Calibri" w:hAnsi="Calibri"/>
          <w:b/>
          <w:color w:val="2F3E9E"/>
          <w:sz w:val="32"/>
        </w:rPr>
        <w:t>3. Admin Recruitment Workflow</w:t>
      </w:r>
    </w:p>
    <w:p>
      <w:pPr>
        <w:pStyle w:val="Heading3"/>
        <w:spacing w:before="200" w:after="100"/>
      </w:pPr>
      <w:r>
        <w:rPr>
          <w:rFonts w:ascii="Calibri" w:hAnsi="Calibri"/>
          <w:b/>
          <w:color w:val="1F4D78"/>
          <w:sz w:val="24"/>
        </w:rPr>
        <w:t>Admin Sign-In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Admin or support user signs in from the admin entry point using a staff account.</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admin session is opened only for recruitment, reports, and support operations.</w:t>
            </w:r>
          </w:p>
        </w:tc>
      </w:tr>
    </w:tbl>
    <w:p/>
    <w:p>
      <w:pPr>
        <w:jc w:val="center"/>
      </w:pPr>
      <w:r>
        <w:drawing>
          <wp:inline xmlns:a="http://schemas.openxmlformats.org/drawingml/2006/main" xmlns:pic="http://schemas.openxmlformats.org/drawingml/2006/picture">
            <wp:extent cx="5257800" cy="3833812"/>
            <wp:docPr id="2" name="Picture 2"/>
            <wp:cNvGraphicFramePr>
              <a:graphicFrameLocks noChangeAspect="1"/>
            </wp:cNvGraphicFramePr>
            <a:graphic>
              <a:graphicData uri="http://schemas.openxmlformats.org/drawingml/2006/picture">
                <pic:pic>
                  <pic:nvPicPr>
                    <pic:cNvPr id="0" name="01-admin-sign-in.png"/>
                    <pic:cNvPicPr/>
                  </pic:nvPicPr>
                  <pic:blipFill>
                    <a:blip r:embed="rId12"/>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Admin Sign-In</w:t>
      </w:r>
    </w:p>
    <w:p>
      <w:pPr>
        <w:pStyle w:val="Heading3"/>
        <w:spacing w:before="200" w:after="100"/>
      </w:pPr>
      <w:r>
        <w:rPr>
          <w:rFonts w:ascii="Calibri" w:hAnsi="Calibri"/>
          <w:b/>
          <w:color w:val="1F4D78"/>
          <w:sz w:val="24"/>
        </w:rPr>
        <w:t>Bulk Doctor Recruitment</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Open the bulk doctor upload screen, choose a CSV with doctor details, and submit it.</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Valid doctors are created, duplicates are skipped, failures are shown, and a result CSV is available.</w:t>
            </w:r>
          </w:p>
        </w:tc>
      </w:tr>
    </w:tbl>
    <w:p/>
    <w:p>
      <w:pPr>
        <w:jc w:val="center"/>
      </w:pPr>
      <w:r>
        <w:drawing>
          <wp:inline xmlns:a="http://schemas.openxmlformats.org/drawingml/2006/main" xmlns:pic="http://schemas.openxmlformats.org/drawingml/2006/picture">
            <wp:extent cx="5257800" cy="3833812"/>
            <wp:docPr id="3" name="Picture 3"/>
            <wp:cNvGraphicFramePr>
              <a:graphicFrameLocks noChangeAspect="1"/>
            </wp:cNvGraphicFramePr>
            <a:graphic>
              <a:graphicData uri="http://schemas.openxmlformats.org/drawingml/2006/picture">
                <pic:pic>
                  <pic:nvPicPr>
                    <pic:cNvPr id="0" name="03-admin-bulk-doctor-recruitment.png"/>
                    <pic:cNvPicPr/>
                  </pic:nvPicPr>
                  <pic:blipFill>
                    <a:blip r:embed="rId13"/>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Bulk Doctor Recruitment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AF7F7"/>
          </w:tcPr>
          <w:p>
            <w:pPr>
              <w:spacing w:after="80"/>
            </w:pPr>
            <w:r>
              <w:rPr>
                <w:rFonts w:ascii="Calibri" w:hAnsi="Calibri"/>
                <w:b/>
                <w:color w:val="2AA7A1"/>
                <w:sz w:val="22"/>
              </w:rPr>
              <w:t>Doctor onboarding message</w:t>
            </w:r>
          </w:p>
          <w:p>
            <w:pPr>
              <w:spacing w:line="300" w:lineRule="auto"/>
            </w:pPr>
            <w:r>
              <w:rPr>
                <w:rFonts w:ascii="Calibri" w:hAnsi="Calibri"/>
                <w:color w:val="1F2D3D"/>
                <w:sz w:val="21"/>
              </w:rPr>
              <w:t>After recruitment the doctor receives WhatsApp/email copy like: Hello Dr Name. Thank you for registering for the Emotional &amp; Behavioural Screening Tool - an initiative supported by SAPA. Your personalized screening tool is now ready. Clinic Link: https://emo.cpdinclinic.co.in/admin/bulk-upload/clinic/C488DF49/ How to Use Guide: https://bit.ly/43QkzpM.</w:t>
            </w:r>
          </w:p>
        </w:tc>
      </w:tr>
    </w:tbl>
    <w:p/>
    <w:p>
      <w:pPr>
        <w:pStyle w:val="Heading1"/>
        <w:spacing w:before="360" w:after="200"/>
      </w:pPr>
      <w:r>
        <w:rPr>
          <w:rFonts w:ascii="Calibri" w:hAnsi="Calibri"/>
          <w:b/>
          <w:color w:val="2F3E9E"/>
          <w:sz w:val="32"/>
        </w:rPr>
        <w:t>4. Doctor Workflow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AF7F7"/>
          </w:tcPr>
          <w:p>
            <w:pPr>
              <w:spacing w:after="80"/>
            </w:pPr>
            <w:r>
              <w:rPr>
                <w:rFonts w:ascii="Calibri" w:hAnsi="Calibri"/>
                <w:b/>
                <w:color w:val="2AA7A1"/>
                <w:sz w:val="22"/>
              </w:rPr>
              <w:t>Doctor sign-in rule</w:t>
            </w:r>
          </w:p>
          <w:p>
            <w:pPr>
              <w:spacing w:line="300" w:lineRule="auto"/>
            </w:pPr>
            <w:r>
              <w:rPr>
                <w:rFonts w:ascii="Calibri" w:hAnsi="Calibri"/>
                <w:color w:val="1F2D3D"/>
                <w:sz w:val="21"/>
              </w:rPr>
              <w:t>In production the doctor opens the clinic link from the onboarding message and signs in with Google using the same email that was registered. If another Google account is used, access should be blocked.</w:t>
            </w:r>
          </w:p>
        </w:tc>
      </w:tr>
    </w:tbl>
    <w:p/>
    <w:p>
      <w:pPr>
        <w:pStyle w:val="Heading3"/>
        <w:spacing w:before="200" w:after="100"/>
      </w:pPr>
      <w:r>
        <w:rPr>
          <w:rFonts w:ascii="Calibri" w:hAnsi="Calibri"/>
          <w:b/>
          <w:color w:val="1F4D78"/>
          <w:sz w:val="24"/>
        </w:rPr>
        <w:t>Clinic Console</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Doctor confirms the provider banner shows the correct clinic details. Use Send Form to Parent to share free or paid forms.</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doctor sees only the clinic sharing workspace and can choose a parent WhatsApp number, form type, language, and QR/direct sharing options.</w:t>
            </w:r>
          </w:p>
        </w:tc>
      </w:tr>
    </w:tbl>
    <w:p/>
    <w:p>
      <w:pPr>
        <w:jc w:val="center"/>
      </w:pPr>
      <w:r>
        <w:drawing>
          <wp:inline xmlns:a="http://schemas.openxmlformats.org/drawingml/2006/main" xmlns:pic="http://schemas.openxmlformats.org/drawingml/2006/picture">
            <wp:extent cx="5257800" cy="3833812"/>
            <wp:docPr id="4" name="Picture 4"/>
            <wp:cNvGraphicFramePr>
              <a:graphicFrameLocks noChangeAspect="1"/>
            </wp:cNvGraphicFramePr>
            <a:graphic>
              <a:graphicData uri="http://schemas.openxmlformats.org/drawingml/2006/picture">
                <pic:pic>
                  <pic:nvPicPr>
                    <pic:cNvPr id="0" name="04-doctor-clinic-console.png"/>
                    <pic:cNvPicPr/>
                  </pic:nvPicPr>
                  <pic:blipFill>
                    <a:blip r:embed="rId14"/>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Clinic Console</w:t>
      </w:r>
    </w:p>
    <w:p>
      <w:pPr>
        <w:pStyle w:val="Heading3"/>
        <w:spacing w:before="200" w:after="100"/>
      </w:pPr>
      <w:r>
        <w:rPr>
          <w:rFonts w:ascii="Calibri" w:hAnsi="Calibri"/>
          <w:b/>
          <w:color w:val="1F4D78"/>
          <w:sz w:val="24"/>
        </w:rPr>
        <w:t>Doctor Shares a Paid Form</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Choose a paid age-band form, enter the parent's WhatsApp number, enter the patient name, choose the price, and send via WhatsApp.</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WhatsApp opens with a prepared message containing the paid parent link.</w:t>
            </w:r>
          </w:p>
        </w:tc>
      </w:tr>
    </w:tbl>
    <w:p/>
    <w:p>
      <w:pPr>
        <w:jc w:val="center"/>
      </w:pPr>
      <w:r>
        <w:drawing>
          <wp:inline xmlns:a="http://schemas.openxmlformats.org/drawingml/2006/main" xmlns:pic="http://schemas.openxmlformats.org/drawingml/2006/picture">
            <wp:extent cx="5257800" cy="3833812"/>
            <wp:docPr id="5" name="Picture 5"/>
            <wp:cNvGraphicFramePr>
              <a:graphicFrameLocks noChangeAspect="1"/>
            </wp:cNvGraphicFramePr>
            <a:graphic>
              <a:graphicData uri="http://schemas.openxmlformats.org/drawingml/2006/picture">
                <pic:pic>
                  <pic:nvPicPr>
                    <pic:cNvPr id="0" name="05-doctor-share-paid-form.png"/>
                    <pic:cNvPicPr/>
                  </pic:nvPicPr>
                  <pic:blipFill>
                    <a:blip r:embed="rId15"/>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Doctor Shares a Paid Form</w:t>
      </w:r>
    </w:p>
    <w:p>
      <w:pPr>
        <w:pStyle w:val="Heading3"/>
        <w:spacing w:before="200" w:after="100"/>
      </w:pPr>
      <w:r>
        <w:rPr>
          <w:rFonts w:ascii="Calibri" w:hAnsi="Calibri"/>
          <w:b/>
          <w:color w:val="1F4D78"/>
          <w:sz w:val="24"/>
        </w:rPr>
        <w:t>Doctor Shares a Free Form</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Choose the Behavioral and Emotional Red Flags form, select the parent's preferred language, and send via WhatsApp.</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WhatsApp opens with a prepared message containing the verification link in the selected language.</w:t>
            </w:r>
          </w:p>
        </w:tc>
      </w:tr>
    </w:tbl>
    <w:p/>
    <w:p>
      <w:pPr>
        <w:jc w:val="center"/>
      </w:pPr>
      <w:r>
        <w:drawing>
          <wp:inline xmlns:a="http://schemas.openxmlformats.org/drawingml/2006/main" xmlns:pic="http://schemas.openxmlformats.org/drawingml/2006/picture">
            <wp:extent cx="5257800" cy="3833812"/>
            <wp:docPr id="6" name="Picture 6"/>
            <wp:cNvGraphicFramePr>
              <a:graphicFrameLocks noChangeAspect="1"/>
            </wp:cNvGraphicFramePr>
            <a:graphic>
              <a:graphicData uri="http://schemas.openxmlformats.org/drawingml/2006/picture">
                <pic:pic>
                  <pic:nvPicPr>
                    <pic:cNvPr id="0" name="06-doctor-share-free-form.png"/>
                    <pic:cNvPicPr/>
                  </pic:nvPicPr>
                  <pic:blipFill>
                    <a:blip r:embed="rId16"/>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Doctor Shares a Free Form</w:t>
      </w:r>
    </w:p>
    <w:p>
      <w:pPr>
        <w:pStyle w:val="Heading1"/>
        <w:spacing w:before="360" w:after="200"/>
      </w:pPr>
      <w:r>
        <w:rPr>
          <w:rFonts w:ascii="Calibri" w:hAnsi="Calibri"/>
          <w:b/>
          <w:color w:val="2F3E9E"/>
          <w:sz w:val="32"/>
        </w:rPr>
        <w:t>5. Paid Parent Flow</w:t>
      </w:r>
    </w:p>
    <w:p>
      <w:pPr>
        <w:pStyle w:val="Heading3"/>
        <w:spacing w:before="200" w:after="100"/>
      </w:pPr>
      <w:r>
        <w:rPr>
          <w:rFonts w:ascii="Calibri" w:hAnsi="Calibri"/>
          <w:b/>
          <w:color w:val="1F4D78"/>
          <w:sz w:val="24"/>
        </w:rPr>
        <w:t>Parent Opens Paid Order</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opens the paid link and confirms or enters their email address before continuing.</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order page shows the prescribed form and payable amount.</w:t>
            </w:r>
          </w:p>
        </w:tc>
      </w:tr>
    </w:tbl>
    <w:p/>
    <w:p>
      <w:pPr>
        <w:jc w:val="center"/>
      </w:pPr>
      <w:r>
        <w:drawing>
          <wp:inline xmlns:a="http://schemas.openxmlformats.org/drawingml/2006/main" xmlns:pic="http://schemas.openxmlformats.org/drawingml/2006/picture">
            <wp:extent cx="5257800" cy="3833812"/>
            <wp:docPr id="7" name="Picture 7"/>
            <wp:cNvGraphicFramePr>
              <a:graphicFrameLocks noChangeAspect="1"/>
            </wp:cNvGraphicFramePr>
            <a:graphic>
              <a:graphicData uri="http://schemas.openxmlformats.org/drawingml/2006/picture">
                <pic:pic>
                  <pic:nvPicPr>
                    <pic:cNvPr id="0" name="07-parent-paid-order-entry.png"/>
                    <pic:cNvPicPr/>
                  </pic:nvPicPr>
                  <pic:blipFill>
                    <a:blip r:embed="rId17"/>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Parent Opens Paid Order</w:t>
      </w:r>
    </w:p>
    <w:p>
      <w:pPr>
        <w:pStyle w:val="Heading3"/>
        <w:spacing w:before="200" w:after="100"/>
      </w:pPr>
      <w:r>
        <w:rPr>
          <w:rFonts w:ascii="Calibri" w:hAnsi="Calibri"/>
          <w:b/>
          <w:color w:val="1F4D78"/>
          <w:sz w:val="24"/>
        </w:rPr>
        <w:t>Payment Screen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For local UAT, click Complete Dummy Payment. In production, the parent should complete the Razorpay checkout.</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Payment is marked completed and the parent is allowed to proceed to the assessment.</w:t>
            </w:r>
          </w:p>
        </w:tc>
      </w:tr>
    </w:tbl>
    <w:p/>
    <w:p>
      <w:pPr>
        <w:jc w:val="center"/>
      </w:pPr>
      <w:r>
        <w:drawing>
          <wp:inline xmlns:a="http://schemas.openxmlformats.org/drawingml/2006/main" xmlns:pic="http://schemas.openxmlformats.org/drawingml/2006/picture">
            <wp:extent cx="5257800" cy="3833812"/>
            <wp:docPr id="8" name="Picture 8"/>
            <wp:cNvGraphicFramePr>
              <a:graphicFrameLocks noChangeAspect="1"/>
            </wp:cNvGraphicFramePr>
            <a:graphic>
              <a:graphicData uri="http://schemas.openxmlformats.org/drawingml/2006/picture">
                <pic:pic>
                  <pic:nvPicPr>
                    <pic:cNvPr id="0" name="08-payment-screen.png"/>
                    <pic:cNvPicPr/>
                  </pic:nvPicPr>
                  <pic:blipFill>
                    <a:blip r:embed="rId18"/>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Payment Screen</w:t>
      </w:r>
    </w:p>
    <w:p>
      <w:pPr>
        <w:pStyle w:val="Heading3"/>
        <w:spacing w:before="200" w:after="100"/>
      </w:pPr>
      <w:r>
        <w:rPr>
          <w:rFonts w:ascii="Calibri" w:hAnsi="Calibri"/>
          <w:b/>
          <w:color w:val="1F4D78"/>
          <w:sz w:val="24"/>
        </w:rPr>
        <w:t>Paid Assessment Form</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fills child details, confirms consent, answers all questions, and clicks Review.</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Review screen opens only after required fields and questions are completed.</w:t>
            </w:r>
          </w:p>
        </w:tc>
      </w:tr>
    </w:tbl>
    <w:p/>
    <w:p>
      <w:pPr>
        <w:jc w:val="center"/>
      </w:pPr>
      <w:r>
        <w:drawing>
          <wp:inline xmlns:a="http://schemas.openxmlformats.org/drawingml/2006/main" xmlns:pic="http://schemas.openxmlformats.org/drawingml/2006/picture">
            <wp:extent cx="5257800" cy="3833812"/>
            <wp:docPr id="9" name="Picture 9"/>
            <wp:cNvGraphicFramePr>
              <a:graphicFrameLocks noChangeAspect="1"/>
            </wp:cNvGraphicFramePr>
            <a:graphic>
              <a:graphicData uri="http://schemas.openxmlformats.org/drawingml/2006/picture">
                <pic:pic>
                  <pic:nvPicPr>
                    <pic:cNvPr id="0" name="09-paid-assessment-form.png"/>
                    <pic:cNvPicPr/>
                  </pic:nvPicPr>
                  <pic:blipFill>
                    <a:blip r:embed="rId19"/>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Paid Assessment Form</w:t>
      </w:r>
    </w:p>
    <w:p>
      <w:pPr>
        <w:pStyle w:val="Heading3"/>
        <w:spacing w:before="200" w:after="100"/>
      </w:pPr>
      <w:r>
        <w:rPr>
          <w:rFonts w:ascii="Calibri" w:hAnsi="Calibri"/>
          <w:b/>
          <w:color w:val="1F4D78"/>
          <w:sz w:val="24"/>
        </w:rPr>
        <w:t>Review Answers</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reviews answers. If correct, click Submit Final. If incorrect, click Edit Answers.</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Final submission triggers report generation.</w:t>
            </w:r>
          </w:p>
        </w:tc>
      </w:tr>
    </w:tbl>
    <w:p/>
    <w:p>
      <w:pPr>
        <w:jc w:val="center"/>
      </w:pPr>
      <w:r>
        <w:drawing>
          <wp:inline xmlns:a="http://schemas.openxmlformats.org/drawingml/2006/main" xmlns:pic="http://schemas.openxmlformats.org/drawingml/2006/picture">
            <wp:extent cx="5257800" cy="3833812"/>
            <wp:docPr id="10" name="Picture 10"/>
            <wp:cNvGraphicFramePr>
              <a:graphicFrameLocks noChangeAspect="1"/>
            </wp:cNvGraphicFramePr>
            <a:graphic>
              <a:graphicData uri="http://schemas.openxmlformats.org/drawingml/2006/picture">
                <pic:pic>
                  <pic:nvPicPr>
                    <pic:cNvPr id="0" name="10-paid-review-answers.png"/>
                    <pic:cNvPicPr/>
                  </pic:nvPicPr>
                  <pic:blipFill>
                    <a:blip r:embed="rId20"/>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Review Answers</w:t>
      </w:r>
    </w:p>
    <w:p>
      <w:pPr>
        <w:pStyle w:val="Heading3"/>
        <w:spacing w:before="200" w:after="100"/>
      </w:pPr>
      <w:r>
        <w:rPr>
          <w:rFonts w:ascii="Calibri" w:hAnsi="Calibri"/>
          <w:b/>
          <w:color w:val="1F4D78"/>
          <w:sz w:val="24"/>
        </w:rPr>
        <w:t>Paid Report Screen</w:t>
      </w:r>
    </w:p>
    <w:p>
      <w:pPr>
        <w:spacing w:after="120" w:line="300" w:lineRule="auto"/>
      </w:pPr>
      <w:r>
        <w:rPr>
          <w:rFonts w:ascii="Calibri" w:hAnsi="Calibri"/>
          <w:b w:val="0"/>
          <w:i/>
          <w:color w:val="6B7C93"/>
          <w:sz w:val="21"/>
        </w:rPr>
        <w:t>In local UAT, email delivery may show FAILED when provider credentials are absent. In production, support should expect provider delivery status.</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Confirm that the submission was accepted and the patient report screen is shown.</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patient can download only the patient report. The doctor receives the doctor report and patient report by email. Reopening the paid link returns to this report screen instead of allowing another submission.</w:t>
            </w:r>
          </w:p>
        </w:tc>
      </w:tr>
    </w:tbl>
    <w:p/>
    <w:p>
      <w:pPr>
        <w:jc w:val="center"/>
      </w:pPr>
      <w:r>
        <w:drawing>
          <wp:inline xmlns:a="http://schemas.openxmlformats.org/drawingml/2006/main" xmlns:pic="http://schemas.openxmlformats.org/drawingml/2006/picture">
            <wp:extent cx="5257800" cy="3833812"/>
            <wp:docPr id="11" name="Picture 11"/>
            <wp:cNvGraphicFramePr>
              <a:graphicFrameLocks noChangeAspect="1"/>
            </wp:cNvGraphicFramePr>
            <a:graphic>
              <a:graphicData uri="http://schemas.openxmlformats.org/drawingml/2006/picture">
                <pic:pic>
                  <pic:nvPicPr>
                    <pic:cNvPr id="0" name="11-paid-report-screen.png"/>
                    <pic:cNvPicPr/>
                  </pic:nvPicPr>
                  <pic:blipFill>
                    <a:blip r:embed="rId21"/>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Paid Report Screen</w:t>
      </w:r>
    </w:p>
    <w:p>
      <w:pPr>
        <w:pStyle w:val="Heading1"/>
        <w:spacing w:before="360" w:after="200"/>
      </w:pPr>
      <w:r>
        <w:rPr>
          <w:rFonts w:ascii="Calibri" w:hAnsi="Calibri"/>
          <w:b/>
          <w:color w:val="2F3E9E"/>
          <w:sz w:val="32"/>
        </w:rPr>
        <w:t>6. Free Parent Flow</w:t>
      </w:r>
    </w:p>
    <w:p>
      <w:pPr>
        <w:pStyle w:val="Heading3"/>
        <w:spacing w:before="200" w:after="100"/>
      </w:pPr>
      <w:r>
        <w:rPr>
          <w:rFonts w:ascii="Calibri" w:hAnsi="Calibri"/>
          <w:b/>
          <w:color w:val="1F4D78"/>
          <w:sz w:val="24"/>
        </w:rPr>
        <w:t>Phone Verification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enters the same WhatsApp number that received the doctor message.</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parent is verified and moved to language selection.</w:t>
            </w:r>
          </w:p>
        </w:tc>
      </w:tr>
    </w:tbl>
    <w:p/>
    <w:p>
      <w:pPr>
        <w:jc w:val="center"/>
      </w:pPr>
      <w:r>
        <w:drawing>
          <wp:inline xmlns:a="http://schemas.openxmlformats.org/drawingml/2006/main" xmlns:pic="http://schemas.openxmlformats.org/drawingml/2006/picture">
            <wp:extent cx="5257800" cy="3833812"/>
            <wp:docPr id="12" name="Picture 12"/>
            <wp:cNvGraphicFramePr>
              <a:graphicFrameLocks noChangeAspect="1"/>
            </wp:cNvGraphicFramePr>
            <a:graphic>
              <a:graphicData uri="http://schemas.openxmlformats.org/drawingml/2006/picture">
                <pic:pic>
                  <pic:nvPicPr>
                    <pic:cNvPr id="0" name="12-free-phone-verification.png"/>
                    <pic:cNvPicPr/>
                  </pic:nvPicPr>
                  <pic:blipFill>
                    <a:blip r:embed="rId22"/>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Phone Verification</w:t>
      </w:r>
    </w:p>
    <w:p>
      <w:pPr>
        <w:pStyle w:val="Heading3"/>
        <w:spacing w:before="200" w:after="100"/>
      </w:pPr>
      <w:r>
        <w:rPr>
          <w:rFonts w:ascii="Calibri" w:hAnsi="Calibri"/>
          <w:b/>
          <w:color w:val="1F4D78"/>
          <w:sz w:val="24"/>
        </w:rPr>
        <w:t>Language Selection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selects the language they are most comfortable using.</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selected language opens the screening form.</w:t>
            </w:r>
          </w:p>
        </w:tc>
      </w:tr>
    </w:tbl>
    <w:p/>
    <w:p>
      <w:pPr>
        <w:jc w:val="center"/>
      </w:pPr>
      <w:r>
        <w:drawing>
          <wp:inline xmlns:a="http://schemas.openxmlformats.org/drawingml/2006/main" xmlns:pic="http://schemas.openxmlformats.org/drawingml/2006/picture">
            <wp:extent cx="5257800" cy="3833812"/>
            <wp:docPr id="13" name="Picture 13"/>
            <wp:cNvGraphicFramePr>
              <a:graphicFrameLocks noChangeAspect="1"/>
            </wp:cNvGraphicFramePr>
            <a:graphic>
              <a:graphicData uri="http://schemas.openxmlformats.org/drawingml/2006/picture">
                <pic:pic>
                  <pic:nvPicPr>
                    <pic:cNvPr id="0" name="13-language-selection.png"/>
                    <pic:cNvPicPr/>
                  </pic:nvPicPr>
                  <pic:blipFill>
                    <a:blip r:embed="rId23"/>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Language Selection</w:t>
      </w:r>
    </w:p>
    <w:p>
      <w:pPr>
        <w:pStyle w:val="Heading3"/>
        <w:spacing w:before="200" w:after="100"/>
      </w:pPr>
      <w:r>
        <w:rPr>
          <w:rFonts w:ascii="Calibri" w:hAnsi="Calibri"/>
          <w:b/>
          <w:color w:val="1F4D78"/>
          <w:sz w:val="24"/>
        </w:rPr>
        <w:t>Free Screening Form</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enters patient details, answers every question, and submits the form.</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result page opens after all required fields are complete.</w:t>
            </w:r>
          </w:p>
        </w:tc>
      </w:tr>
    </w:tbl>
    <w:p/>
    <w:p>
      <w:pPr>
        <w:jc w:val="center"/>
      </w:pPr>
      <w:r>
        <w:drawing>
          <wp:inline xmlns:a="http://schemas.openxmlformats.org/drawingml/2006/main" xmlns:pic="http://schemas.openxmlformats.org/drawingml/2006/picture">
            <wp:extent cx="5257800" cy="3833812"/>
            <wp:docPr id="14" name="Picture 14"/>
            <wp:cNvGraphicFramePr>
              <a:graphicFrameLocks noChangeAspect="1"/>
            </wp:cNvGraphicFramePr>
            <a:graphic>
              <a:graphicData uri="http://schemas.openxmlformats.org/drawingml/2006/picture">
                <pic:pic>
                  <pic:nvPicPr>
                    <pic:cNvPr id="0" name="14-free-screening-form.png"/>
                    <pic:cNvPicPr/>
                  </pic:nvPicPr>
                  <pic:blipFill>
                    <a:blip r:embed="rId24"/>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Free Screening Form</w:t>
      </w:r>
    </w:p>
    <w:p>
      <w:pPr>
        <w:pStyle w:val="Heading3"/>
        <w:spacing w:before="200" w:after="100"/>
      </w:pPr>
      <w:r>
        <w:rPr>
          <w:rFonts w:ascii="Calibri" w:hAnsi="Calibri"/>
          <w:b/>
          <w:color w:val="1F4D78"/>
          <w:sz w:val="24"/>
        </w:rPr>
        <w:t>Free Result Screen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Parent reviews the result summary and keeps the report code for future reference.</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result clearly shows whether warning signs were identified and shows next-step actions where applicable. Reopening the completed verified link returns to the existing report instead of accepting another submission.</w:t>
            </w:r>
          </w:p>
        </w:tc>
      </w:tr>
    </w:tbl>
    <w:p/>
    <w:p>
      <w:pPr>
        <w:jc w:val="center"/>
      </w:pPr>
      <w:r>
        <w:drawing>
          <wp:inline xmlns:a="http://schemas.openxmlformats.org/drawingml/2006/main" xmlns:pic="http://schemas.openxmlformats.org/drawingml/2006/picture">
            <wp:extent cx="5257800" cy="3833812"/>
            <wp:docPr id="15" name="Picture 15"/>
            <wp:cNvGraphicFramePr>
              <a:graphicFrameLocks noChangeAspect="1"/>
            </wp:cNvGraphicFramePr>
            <a:graphic>
              <a:graphicData uri="http://schemas.openxmlformats.org/drawingml/2006/picture">
                <pic:pic>
                  <pic:nvPicPr>
                    <pic:cNvPr id="0" name="15-free-result-screen.png"/>
                    <pic:cNvPicPr/>
                  </pic:nvPicPr>
                  <pic:blipFill>
                    <a:blip r:embed="rId25"/>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Free Result Screen</w:t>
      </w:r>
    </w:p>
    <w:p>
      <w:pPr>
        <w:pStyle w:val="Heading2"/>
        <w:spacing w:before="280" w:after="140"/>
      </w:pPr>
      <w:r>
        <w:rPr>
          <w:rFonts w:ascii="Calibri" w:hAnsi="Calibri"/>
          <w:b/>
          <w:color w:val="2F3E9E"/>
          <w:sz w:val="26"/>
        </w:rPr>
        <w:t>Language coverage checklist</w:t>
      </w:r>
    </w:p>
    <w:p>
      <w:pPr>
        <w:spacing w:after="120" w:line="300" w:lineRule="auto"/>
      </w:pPr>
      <w:r>
        <w:rPr>
          <w:rFonts w:ascii="Calibri" w:hAnsi="Calibri"/>
          <w:b w:val="0"/>
          <w:i w:val="0"/>
          <w:color w:val="1F2D3D"/>
          <w:sz w:val="22"/>
        </w:rPr>
        <w:t>Run the same free screening submission once in each supported language. The tester does not need to understand every translated question; the test is passed when the language-specific form loads, accepts answers, and opens the result screen.</w:t>
      </w:r>
    </w:p>
    <w:tbl>
      <w:tblPr>
        <w:tblW w:type="dxa" w:w="9360"/>
        <w:tblLayout w:type="fixed"/>
        <w:tblLook w:firstColumn="1" w:firstRow="1" w:lastColumn="0" w:lastRow="0" w:noHBand="0" w:noVBand="1" w:val="04A0"/>
        <w:jc w:val="left"/>
        <w:tblInd w:w="120" w:type="dxa"/>
      </w:tblPr>
      <w:tblGrid>
        <w:gridCol w:w="1800"/>
        <w:gridCol w:w="2300"/>
        <w:gridCol w:w="3360"/>
        <w:gridCol w:w="1900"/>
      </w:tblGrid>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Language</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Screening link</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Tester action</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Expected result</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English</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English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Hindi</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Hindi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Tamil</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Tamil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Telugu</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Telugu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Malayalam</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Malayalam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Marathi</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Marathi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Bengali</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Bengali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r>
        <w:trPr>
          <w:cantSplit/>
        </w:trPr>
        <w:tc>
          <w:tcPr>
            <w:tcW w:type="dxa" w:w="18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Kannada</w:t>
            </w:r>
          </w:p>
        </w:tc>
        <w:tc>
          <w:tcPr>
            <w:tcW w:type="dxa" w:w="23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w:t>
            </w:r>
          </w:p>
        </w:tc>
        <w:tc>
          <w:tcPr>
            <w:tcW w:type="dxa" w:w="33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Kannada and submit all questions</w:t>
            </w:r>
          </w:p>
        </w:tc>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Result page opens</w:t>
            </w:r>
          </w:p>
        </w:tc>
      </w:tr>
    </w:tbl>
    <w:p/>
    <w:p>
      <w:pPr>
        <w:pStyle w:val="Heading1"/>
        <w:spacing w:before="360" w:after="200"/>
      </w:pPr>
      <w:r>
        <w:rPr>
          <w:rFonts w:ascii="Calibri" w:hAnsi="Calibri"/>
          <w:b/>
          <w:color w:val="2F3E9E"/>
          <w:sz w:val="32"/>
        </w:rPr>
        <w:t>7. Self-Screening Flow</w:t>
      </w:r>
    </w:p>
    <w:p>
      <w:pPr>
        <w:pStyle w:val="Heading3"/>
        <w:spacing w:before="200" w:after="100"/>
      </w:pPr>
      <w:r>
        <w:rPr>
          <w:rFonts w:ascii="Calibri" w:hAnsi="Calibri"/>
          <w:b/>
          <w:color w:val="1F4D78"/>
          <w:sz w:val="24"/>
        </w:rPr>
        <w:t>Self-Screen Start</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A parent without a doctor link starts from Self Screening and enters their WhatsApp number.</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The system routes the parent into the same guided screening experience without assigning a clinic doctor.</w:t>
            </w:r>
          </w:p>
        </w:tc>
      </w:tr>
    </w:tbl>
    <w:p/>
    <w:p>
      <w:pPr>
        <w:jc w:val="center"/>
      </w:pPr>
      <w:r>
        <w:drawing>
          <wp:inline xmlns:a="http://schemas.openxmlformats.org/drawingml/2006/main" xmlns:pic="http://schemas.openxmlformats.org/drawingml/2006/picture">
            <wp:extent cx="5257800" cy="3833812"/>
            <wp:docPr id="16" name="Picture 16"/>
            <wp:cNvGraphicFramePr>
              <a:graphicFrameLocks noChangeAspect="1"/>
            </wp:cNvGraphicFramePr>
            <a:graphic>
              <a:graphicData uri="http://schemas.openxmlformats.org/drawingml/2006/picture">
                <pic:pic>
                  <pic:nvPicPr>
                    <pic:cNvPr id="0" name="16-self-screen-start.png"/>
                    <pic:cNvPicPr/>
                  </pic:nvPicPr>
                  <pic:blipFill>
                    <a:blip r:embed="rId26"/>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Self-Screen Start</w:t>
      </w:r>
    </w:p>
    <w:p>
      <w:pPr>
        <w:pStyle w:val="Heading1"/>
        <w:spacing w:before="360" w:after="200"/>
      </w:pPr>
      <w:r>
        <w:rPr>
          <w:rFonts w:ascii="Calibri" w:hAnsi="Calibri"/>
          <w:b/>
          <w:color w:val="2F3E9E"/>
          <w:sz w:val="32"/>
        </w:rPr>
        <w:t>8. Support and Audit Visibility</w:t>
      </w:r>
    </w:p>
    <w:p>
      <w:pPr>
        <w:pStyle w:val="Heading3"/>
        <w:spacing w:before="200" w:after="100"/>
      </w:pPr>
      <w:r>
        <w:rPr>
          <w:rFonts w:ascii="Calibri" w:hAnsi="Calibri"/>
          <w:b/>
          <w:color w:val="1F4D78"/>
          <w:sz w:val="24"/>
        </w:rPr>
        <w:t>Workflow Audit Dashboard</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Support opens the workflow dashboard and searches/filters by doctor, patient, form status, payment status, report status, or date range.</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Support can identify how many workflows are pending, completed, failed, paid, or submitted.</w:t>
            </w:r>
          </w:p>
        </w:tc>
      </w:tr>
    </w:tbl>
    <w:p/>
    <w:p>
      <w:pPr>
        <w:jc w:val="center"/>
      </w:pPr>
      <w:r>
        <w:drawing>
          <wp:inline xmlns:a="http://schemas.openxmlformats.org/drawingml/2006/main" xmlns:pic="http://schemas.openxmlformats.org/drawingml/2006/picture">
            <wp:extent cx="5257800" cy="3833812"/>
            <wp:docPr id="17" name="Picture 17"/>
            <wp:cNvGraphicFramePr>
              <a:graphicFrameLocks noChangeAspect="1"/>
            </wp:cNvGraphicFramePr>
            <a:graphic>
              <a:graphicData uri="http://schemas.openxmlformats.org/drawingml/2006/picture">
                <pic:pic>
                  <pic:nvPicPr>
                    <pic:cNvPr id="0" name="17-workflow-audit-dashboard.png"/>
                    <pic:cNvPicPr/>
                  </pic:nvPicPr>
                  <pic:blipFill>
                    <a:blip r:embed="rId27"/>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Workflow Audit Dashboard</w:t>
      </w:r>
    </w:p>
    <w:p>
      <w:pPr>
        <w:pStyle w:val="Heading3"/>
        <w:spacing w:before="200" w:after="100"/>
      </w:pPr>
      <w:r>
        <w:rPr>
          <w:rFonts w:ascii="Calibri" w:hAnsi="Calibri"/>
          <w:b/>
          <w:color w:val="1F4D78"/>
          <w:sz w:val="24"/>
        </w:rPr>
        <w:t>Workflow Detail Page</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What to do</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Open a workflow case to inspect doctor, patient, payment, report, event timeline, and delivery attempts.</w:t>
            </w:r>
          </w:p>
        </w:tc>
      </w:tr>
      <w:tr>
        <w:trPr>
          <w:cantSplit/>
        </w:trPr>
        <w:tc>
          <w:tcPr>
            <w:tcW w:type="dxa" w:w="19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1"/>
              </w:rPr>
              <w:t>Expected result</w:t>
            </w:r>
          </w:p>
        </w:tc>
        <w:tc>
          <w:tcPr>
            <w:tcW w:type="dxa" w:w="74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21"/>
              </w:rPr>
              <w:t>Support can answer where the workflow currently stands and where it failed if any stage did not complete.</w:t>
            </w:r>
          </w:p>
        </w:tc>
      </w:tr>
    </w:tbl>
    <w:p/>
    <w:p>
      <w:pPr>
        <w:jc w:val="center"/>
      </w:pPr>
      <w:r>
        <w:drawing>
          <wp:inline xmlns:a="http://schemas.openxmlformats.org/drawingml/2006/main" xmlns:pic="http://schemas.openxmlformats.org/drawingml/2006/picture">
            <wp:extent cx="5257800" cy="3833812"/>
            <wp:docPr id="18" name="Picture 18"/>
            <wp:cNvGraphicFramePr>
              <a:graphicFrameLocks noChangeAspect="1"/>
            </wp:cNvGraphicFramePr>
            <a:graphic>
              <a:graphicData uri="http://schemas.openxmlformats.org/drawingml/2006/picture">
                <pic:pic>
                  <pic:nvPicPr>
                    <pic:cNvPr id="0" name="18-workflow-audit-detail.png"/>
                    <pic:cNvPicPr/>
                  </pic:nvPicPr>
                  <pic:blipFill>
                    <a:blip r:embed="rId28"/>
                    <a:stretch>
                      <a:fillRect/>
                    </a:stretch>
                  </pic:blipFill>
                  <pic:spPr>
                    <a:xfrm>
                      <a:off x="0" y="0"/>
                      <a:ext cx="5257800" cy="3833812"/>
                    </a:xfrm>
                    <a:prstGeom prst="rect"/>
                  </pic:spPr>
                </pic:pic>
              </a:graphicData>
            </a:graphic>
          </wp:inline>
        </w:drawing>
      </w:r>
    </w:p>
    <w:p>
      <w:pPr>
        <w:spacing w:after="240"/>
        <w:jc w:val="center"/>
      </w:pPr>
      <w:r>
        <w:rPr>
          <w:rFonts w:ascii="Calibri" w:hAnsi="Calibri"/>
          <w:i/>
          <w:color w:val="6B7C93"/>
          <w:sz w:val="18"/>
        </w:rPr>
        <w:t>Screenshot: Workflow Detail Page</w:t>
      </w:r>
    </w:p>
    <w:p>
      <w:pPr>
        <w:pStyle w:val="Heading1"/>
        <w:spacing w:before="360" w:after="200"/>
      </w:pPr>
      <w:r>
        <w:rPr>
          <w:rFonts w:ascii="Calibri" w:hAnsi="Calibri"/>
          <w:b/>
          <w:color w:val="2F3E9E"/>
          <w:sz w:val="32"/>
        </w:rPr>
        <w:t>9. Final Pass Checklist</w:t>
      </w:r>
    </w:p>
    <w:p>
      <w:pPr>
        <w:spacing w:after="120" w:line="300" w:lineRule="auto"/>
      </w:pPr>
      <w:r>
        <w:rPr>
          <w:rFonts w:ascii="Calibri" w:hAnsi="Calibri"/>
          <w:b w:val="0"/>
          <w:i w:val="0"/>
          <w:color w:val="1F2D3D"/>
          <w:sz w:val="22"/>
        </w:rPr>
        <w:t>Use this checklist at the end of a full live or UAT pass.</w:t>
      </w:r>
    </w:p>
    <w:tbl>
      <w:tblPr>
        <w:tblW w:type="dxa" w:w="9360"/>
        <w:tblLayout w:type="fixed"/>
        <w:tblLook w:firstColumn="1" w:firstRow="1" w:lastColumn="0" w:lastRow="0" w:noHBand="0" w:noVBand="1" w:val="04A0"/>
        <w:jc w:val="left"/>
        <w:tblInd w:w="120" w:type="dxa"/>
      </w:tblPr>
      <w:tblGrid>
        <w:gridCol w:w="1700"/>
        <w:gridCol w:w="3160"/>
        <w:gridCol w:w="2500"/>
        <w:gridCol w:w="2000"/>
      </w:tblGrid>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Area</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Tester action</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Pass condition</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shd w:fill="E8EEF5"/>
          </w:tcPr>
          <w:p>
            <w:r>
              <w:rPr>
                <w:rFonts w:ascii="Calibri" w:hAnsi="Calibri"/>
                <w:b/>
                <w:color w:val="2F3E9E"/>
                <w:sz w:val="20"/>
              </w:rPr>
              <w:t>Result</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Admin recruitment</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Upload or register doctors from admin tools</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Doctor receives clinic link and how-to guide</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Doctor access</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Doctor opens clinic link and signs in with registered Google email</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Doctor can see provider banner and sharing form</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Paid form sharing</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paid form and send link</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Parent receives/opens payment and assessment link</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Free form sharing</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Select behavioral form and language</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Parent verifies phone and reaches language/form flow</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Payment</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Complete payment</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Payment status becomes completed before assessment opens</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One-time use</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Reopen a completed paid/free form link</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Existing report opens; answers cannot be submitted again</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Reports</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Confirm paid and free result/report screens</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Patient receives patient report; doctor receives doctor and patient reports where applicable</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r>
        <w:trPr>
          <w:cantSplit/>
        </w:trPr>
        <w:tc>
          <w:tcPr>
            <w:tcW w:type="dxa" w:w="17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Audit trail</w:t>
            </w:r>
          </w:p>
        </w:tc>
        <w:tc>
          <w:tcPr>
            <w:tcW w:type="dxa" w:w="316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Open support workflow dashboard and detail page</w:t>
            </w:r>
          </w:p>
        </w:tc>
        <w:tc>
          <w:tcPr>
            <w:tcW w:type="dxa" w:w="25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Status, payment, report, event history, and delivery attempts are visible to support</w:t>
            </w:r>
          </w:p>
        </w:tc>
        <w:tc>
          <w:tcPr>
            <w:tcW w:type="dxa" w:w="2000"/>
            <w:tcMar>
              <w:top w:w="80" w:type="dxa"/>
              <w:start w:w="120" w:type="dxa"/>
              <w:bottom w:w="80" w:type="dxa"/>
              <w:end w:w="120" w:type="dxa"/>
            </w:tcMar>
            <w:tcBorders>
              <w:top w:val="single" w:sz="6" w:space="0" w:color="D8E7EB"/>
              <w:left w:val="single" w:sz="6" w:space="0" w:color="D8E7EB"/>
              <w:bottom w:val="single" w:sz="6" w:space="0" w:color="D8E7EB"/>
              <w:right w:val="single" w:sz="6" w:space="0" w:color="D8E7EB"/>
            </w:tcBorders>
            <w:vAlign w:val="center"/>
          </w:tcPr>
          <w:p>
            <w:r>
              <w:rPr>
                <w:rFonts w:ascii="Calibri" w:hAnsi="Calibri"/>
                <w:color w:val="1F2D3D"/>
                <w:sz w:val="19"/>
              </w:rPr>
              <w:t>Pass / Fail</w:t>
            </w:r>
          </w:p>
        </w:tc>
      </w:tr>
    </w:tbl>
    <w:p/>
    <w:p>
      <w:pPr>
        <w:pStyle w:val="Heading1"/>
        <w:spacing w:before="360" w:after="200"/>
      </w:pPr>
      <w:r>
        <w:rPr>
          <w:rFonts w:ascii="Calibri" w:hAnsi="Calibri"/>
          <w:b/>
          <w:color w:val="2F3E9E"/>
          <w:sz w:val="32"/>
        </w:rPr>
        <w:t>10. Completion Criteria</w:t>
      </w:r>
    </w:p>
    <w:p>
      <w:pPr>
        <w:pStyle w:val="ListBullet"/>
        <w:spacing w:after="80" w:line="300" w:lineRule="auto"/>
        <w:ind w:left="540" w:hanging="271"/>
      </w:pPr>
      <w:r>
        <w:rPr>
          <w:rFonts w:ascii="Calibri" w:hAnsi="Calibri"/>
          <w:color w:val="1F2D3D"/>
          <w:sz w:val="21"/>
        </w:rPr>
        <w:t>Normal public entry and admin entry are separate and both remain reachable.</w:t>
      </w:r>
    </w:p>
    <w:p>
      <w:pPr>
        <w:pStyle w:val="ListBullet"/>
        <w:spacing w:after="80" w:line="300" w:lineRule="auto"/>
        <w:ind w:left="540" w:hanging="271"/>
      </w:pPr>
      <w:r>
        <w:rPr>
          <w:rFonts w:ascii="Calibri" w:hAnsi="Calibri"/>
          <w:color w:val="1F2D3D"/>
          <w:sz w:val="21"/>
        </w:rPr>
        <w:t>Admin can recruit doctors and the doctor receives the clinic link plus how-to guide.</w:t>
      </w:r>
    </w:p>
    <w:p>
      <w:pPr>
        <w:pStyle w:val="ListBullet"/>
        <w:spacing w:after="80" w:line="300" w:lineRule="auto"/>
        <w:ind w:left="540" w:hanging="271"/>
      </w:pPr>
      <w:r>
        <w:rPr>
          <w:rFonts w:ascii="Calibri" w:hAnsi="Calibri"/>
          <w:color w:val="1F2D3D"/>
          <w:sz w:val="21"/>
        </w:rPr>
        <w:t>Doctor clinic workflow starts from the onboarding clinic link and requires the registered Google email.</w:t>
      </w:r>
    </w:p>
    <w:p>
      <w:pPr>
        <w:pStyle w:val="ListBullet"/>
        <w:spacing w:after="80" w:line="300" w:lineRule="auto"/>
        <w:ind w:left="540" w:hanging="271"/>
      </w:pPr>
      <w:r>
        <w:rPr>
          <w:rFonts w:ascii="Calibri" w:hAnsi="Calibri"/>
          <w:color w:val="1F2D3D"/>
          <w:sz w:val="21"/>
        </w:rPr>
        <w:t>Doctor can share both paid and free links without confusion.</w:t>
      </w:r>
    </w:p>
    <w:p>
      <w:pPr>
        <w:pStyle w:val="ListBullet"/>
        <w:spacing w:after="80" w:line="300" w:lineRule="auto"/>
        <w:ind w:left="540" w:hanging="271"/>
      </w:pPr>
      <w:r>
        <w:rPr>
          <w:rFonts w:ascii="Calibri" w:hAnsi="Calibri"/>
          <w:color w:val="1F2D3D"/>
          <w:sz w:val="21"/>
        </w:rPr>
        <w:t>Parent can complete payment before accessing a paid assessment.</w:t>
      </w:r>
    </w:p>
    <w:p>
      <w:pPr>
        <w:pStyle w:val="ListBullet"/>
        <w:spacing w:after="80" w:line="300" w:lineRule="auto"/>
        <w:ind w:left="540" w:hanging="271"/>
      </w:pPr>
      <w:r>
        <w:rPr>
          <w:rFonts w:ascii="Calibri" w:hAnsi="Calibri"/>
          <w:color w:val="1F2D3D"/>
          <w:sz w:val="21"/>
        </w:rPr>
        <w:t>Parent can complete the paid form once and reach the patient-facing paid report screen.</w:t>
      </w:r>
    </w:p>
    <w:p>
      <w:pPr>
        <w:pStyle w:val="ListBullet"/>
        <w:spacing w:after="80" w:line="300" w:lineRule="auto"/>
        <w:ind w:left="540" w:hanging="271"/>
      </w:pPr>
      <w:r>
        <w:rPr>
          <w:rFonts w:ascii="Calibri" w:hAnsi="Calibri"/>
          <w:color w:val="1F2D3D"/>
          <w:sz w:val="21"/>
        </w:rPr>
        <w:t>Paid report delivery sends one patient report to the patient and both patient and doctor reports to the doctor.</w:t>
      </w:r>
    </w:p>
    <w:p>
      <w:pPr>
        <w:pStyle w:val="ListBullet"/>
        <w:spacing w:after="80" w:line="300" w:lineRule="auto"/>
        <w:ind w:left="540" w:hanging="271"/>
      </w:pPr>
      <w:r>
        <w:rPr>
          <w:rFonts w:ascii="Calibri" w:hAnsi="Calibri"/>
          <w:color w:val="1F2D3D"/>
          <w:sz w:val="21"/>
        </w:rPr>
        <w:t>Parent can complete the free form once in all supported languages.</w:t>
      </w:r>
    </w:p>
    <w:p>
      <w:pPr>
        <w:pStyle w:val="ListBullet"/>
        <w:spacing w:after="80" w:line="300" w:lineRule="auto"/>
        <w:ind w:left="540" w:hanging="271"/>
      </w:pPr>
      <w:r>
        <w:rPr>
          <w:rFonts w:ascii="Calibri" w:hAnsi="Calibri"/>
          <w:color w:val="1F2D3D"/>
          <w:sz w:val="21"/>
        </w:rPr>
        <w:t>Self-screening starts without a doctor-specific link.</w:t>
      </w:r>
    </w:p>
    <w:p>
      <w:pPr>
        <w:pStyle w:val="ListBullet"/>
        <w:spacing w:after="80" w:line="300" w:lineRule="auto"/>
        <w:ind w:left="540" w:hanging="271"/>
      </w:pPr>
      <w:r>
        <w:rPr>
          <w:rFonts w:ascii="Calibri" w:hAnsi="Calibri"/>
          <w:color w:val="1F2D3D"/>
          <w:sz w:val="21"/>
        </w:rPr>
        <w:t>Support can trace each workflow from creation through completion using the audit dashboard.</w:t>
      </w:r>
    </w:p>
    <w:p>
      <w:pPr>
        <w:pStyle w:val="ListBullet"/>
        <w:spacing w:after="80" w:line="300" w:lineRule="auto"/>
        <w:ind w:left="540" w:hanging="271"/>
      </w:pPr>
      <w:r>
        <w:rPr>
          <w:rFonts w:ascii="Calibri" w:hAnsi="Calibri"/>
          <w:color w:val="1F2D3D"/>
          <w:sz w:val="21"/>
        </w:rPr>
        <w:t>Any failure state shows the stage, reason, and enough context for support to retry or escalate.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C93"/>
        <w:sz w:val="18"/>
      </w:rPr>
      <w:t>User-oriented UAT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B7C93"/>
        <w:sz w:val="18"/>
      </w:rPr>
      <w:t>EmoScreen End-to-End Testing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