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bottom w:color="auto" w:space="0" w:sz="0" w:val="none"/>
          <w:right w:color="auto" w:space="0" w:sz="0" w:val="none"/>
          <w:between w:color="auto" w:space="0" w:sz="0" w:val="none"/>
        </w:pBdr>
        <w:spacing w:before="280" w:lineRule="auto"/>
        <w:ind w:left="0" w:firstLine="0"/>
        <w:rPr>
          <w:rFonts w:ascii="Times New Roman" w:cs="Times New Roman" w:eastAsia="Times New Roman" w:hAnsi="Times New Roman"/>
          <w:b w:val="1"/>
          <w:color w:val="1b1c1d"/>
          <w:sz w:val="26"/>
          <w:szCs w:val="26"/>
        </w:rPr>
      </w:pPr>
      <w:bookmarkStart w:colFirst="0" w:colLast="0" w:name="_9smwwvcn12wr" w:id="0"/>
      <w:bookmarkEnd w:id="0"/>
      <w:r w:rsidDel="00000000" w:rsidR="00000000" w:rsidRPr="00000000">
        <w:rPr>
          <w:rFonts w:ascii="Times New Roman" w:cs="Times New Roman" w:eastAsia="Times New Roman" w:hAnsi="Times New Roman"/>
          <w:b w:val="1"/>
          <w:color w:val="1b1c1d"/>
          <w:sz w:val="26"/>
          <w:szCs w:val="26"/>
          <w:rtl w:val="0"/>
        </w:rPr>
        <w:t xml:space="preserve">Pediatric Vomiting and Diarrhoea: Decoding Red Flags for Severe Outcomes</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Pediatric vomiting and diarrhoea are common yet variable in severity, requiring pediatricians to differentiate between benign cases and those signaling severe outcomes. This article highlights key red flags in rare or complex scenarios, emphasizing atypical presentations that necessitate prompt intervention.</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before="280" w:lineRule="auto"/>
        <w:ind w:left="0" w:firstLine="0"/>
        <w:rPr>
          <w:rFonts w:ascii="Times New Roman" w:cs="Times New Roman" w:eastAsia="Times New Roman" w:hAnsi="Times New Roman"/>
          <w:b w:val="1"/>
          <w:color w:val="1b1c1d"/>
          <w:sz w:val="26"/>
          <w:szCs w:val="26"/>
        </w:rPr>
      </w:pPr>
      <w:bookmarkStart w:colFirst="0" w:colLast="0" w:name="_b7mwewvimx81" w:id="1"/>
      <w:bookmarkEnd w:id="1"/>
      <w:r w:rsidDel="00000000" w:rsidR="00000000" w:rsidRPr="00000000">
        <w:rPr>
          <w:rFonts w:ascii="Times New Roman" w:cs="Times New Roman" w:eastAsia="Times New Roman" w:hAnsi="Times New Roman"/>
          <w:b w:val="1"/>
          <w:color w:val="1b1c1d"/>
          <w:sz w:val="26"/>
          <w:szCs w:val="26"/>
          <w:rtl w:val="0"/>
        </w:rPr>
        <w:t xml:space="preserve">Decoding Red Flags for Severe Outcomes</w:t>
      </w:r>
    </w:p>
    <w:p w:rsidR="00000000" w:rsidDel="00000000" w:rsidP="00000000" w:rsidRDefault="00000000" w:rsidRPr="00000000" w14:paraId="00000004">
      <w:pPr>
        <w:rPr/>
      </w:pPr>
      <w:r w:rsidDel="00000000" w:rsidR="00000000" w:rsidRPr="00000000">
        <w:rPr/>
        <w:drawing>
          <wp:inline distB="114300" distT="114300" distL="114300" distR="114300">
            <wp:extent cx="57312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While most cases are mild, the following warning signs indicate a higher risk of severe complications:</w:t>
      </w:r>
    </w:p>
    <w:p w:rsidR="00000000" w:rsidDel="00000000" w:rsidP="00000000" w:rsidRDefault="00000000" w:rsidRPr="00000000" w14:paraId="00000007">
      <w:pPr>
        <w:pStyle w:val="Heading4"/>
        <w:keepNext w:val="0"/>
        <w:keepLines w:val="0"/>
        <w:pBdr>
          <w:top w:color="auto" w:space="0" w:sz="0" w:val="none"/>
          <w:bottom w:color="auto" w:space="0" w:sz="0" w:val="none"/>
          <w:right w:color="auto" w:space="0" w:sz="0" w:val="none"/>
          <w:between w:color="auto" w:space="0" w:sz="0" w:val="none"/>
        </w:pBdr>
        <w:spacing w:after="40" w:before="240" w:lineRule="auto"/>
        <w:ind w:left="0" w:firstLine="0"/>
        <w:rPr>
          <w:rFonts w:ascii="Times New Roman" w:cs="Times New Roman" w:eastAsia="Times New Roman" w:hAnsi="Times New Roman"/>
          <w:b w:val="1"/>
          <w:color w:val="1b1c1d"/>
          <w:sz w:val="22"/>
          <w:szCs w:val="22"/>
        </w:rPr>
      </w:pPr>
      <w:bookmarkStart w:colFirst="0" w:colLast="0" w:name="_kls9gyopu07z" w:id="2"/>
      <w:bookmarkEnd w:id="2"/>
      <w:r w:rsidDel="00000000" w:rsidR="00000000" w:rsidRPr="00000000">
        <w:rPr>
          <w:rFonts w:ascii="Times New Roman" w:cs="Times New Roman" w:eastAsia="Times New Roman" w:hAnsi="Times New Roman"/>
          <w:b w:val="1"/>
          <w:color w:val="1b1c1d"/>
          <w:sz w:val="22"/>
          <w:szCs w:val="22"/>
          <w:rtl w:val="0"/>
        </w:rPr>
        <w:t xml:space="preserve">Neurological Signs [1]</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rtl w:val="0"/>
        </w:rPr>
        <w:t xml:space="preserve">Lethargy/Irritability</w:t>
      </w:r>
      <w:r w:rsidDel="00000000" w:rsidR="00000000" w:rsidRPr="00000000">
        <w:rPr>
          <w:rFonts w:ascii="Times New Roman" w:cs="Times New Roman" w:eastAsia="Times New Roman" w:hAnsi="Times New Roman"/>
          <w:color w:val="1b1c1d"/>
          <w:sz w:val="24"/>
          <w:szCs w:val="24"/>
          <w:rtl w:val="0"/>
        </w:rPr>
        <w:t xml:space="preserve">: Early signs of dehydration, electrolyte imbalance, or CNS involvement.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Seizures</w:t>
      </w:r>
      <w:r w:rsidDel="00000000" w:rsidR="00000000" w:rsidRPr="00000000">
        <w:rPr>
          <w:rFonts w:ascii="Times New Roman" w:cs="Times New Roman" w:eastAsia="Times New Roman" w:hAnsi="Times New Roman"/>
          <w:color w:val="1b1c1d"/>
          <w:sz w:val="24"/>
          <w:szCs w:val="24"/>
          <w:rtl w:val="0"/>
        </w:rPr>
        <w:t xml:space="preserve">: May indicate severe </w:t>
      </w:r>
      <w:r w:rsidDel="00000000" w:rsidR="00000000" w:rsidRPr="00000000">
        <w:rPr>
          <w:rFonts w:ascii="Times New Roman" w:cs="Times New Roman" w:eastAsia="Times New Roman" w:hAnsi="Times New Roman"/>
          <w:b w:val="1"/>
          <w:color w:val="1b1c1d"/>
          <w:sz w:val="24"/>
          <w:szCs w:val="24"/>
          <w:rtl w:val="0"/>
        </w:rPr>
        <w:t xml:space="preserve">electrolyte disturbances (hyponatremia, hypernatremia), hypoglycemia, or CNS infections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Focal Neurological Deficits</w:t>
      </w:r>
      <w:r w:rsidDel="00000000" w:rsidR="00000000" w:rsidRPr="00000000">
        <w:rPr>
          <w:rFonts w:ascii="Times New Roman" w:cs="Times New Roman" w:eastAsia="Times New Roman" w:hAnsi="Times New Roman"/>
          <w:color w:val="1b1c1d"/>
          <w:sz w:val="24"/>
          <w:szCs w:val="24"/>
          <w:rtl w:val="0"/>
        </w:rPr>
        <w:t xml:space="preserve">: Weakness, paralysis, or cranial nerve abnormalities requiring immediate evaluation.</w:t>
      </w:r>
    </w:p>
    <w:p w:rsidR="00000000" w:rsidDel="00000000" w:rsidP="00000000" w:rsidRDefault="00000000" w:rsidRPr="00000000" w14:paraId="0000000B">
      <w:pPr>
        <w:pStyle w:val="Heading4"/>
        <w:keepNext w:val="0"/>
        <w:keepLines w:val="0"/>
        <w:pBdr>
          <w:top w:color="auto" w:space="0" w:sz="0" w:val="none"/>
          <w:bottom w:color="auto" w:space="0" w:sz="0" w:val="none"/>
          <w:right w:color="auto" w:space="0" w:sz="0" w:val="none"/>
          <w:between w:color="auto" w:space="0" w:sz="0" w:val="none"/>
        </w:pBdr>
        <w:spacing w:after="40" w:before="240" w:lineRule="auto"/>
        <w:ind w:left="0" w:firstLine="0"/>
        <w:rPr>
          <w:rFonts w:ascii="Times New Roman" w:cs="Times New Roman" w:eastAsia="Times New Roman" w:hAnsi="Times New Roman"/>
          <w:b w:val="1"/>
          <w:color w:val="1b1c1d"/>
          <w:sz w:val="22"/>
          <w:szCs w:val="22"/>
        </w:rPr>
      </w:pPr>
      <w:bookmarkStart w:colFirst="0" w:colLast="0" w:name="_s7j3l7zuzbp" w:id="3"/>
      <w:bookmarkEnd w:id="3"/>
      <w:r w:rsidDel="00000000" w:rsidR="00000000" w:rsidRPr="00000000">
        <w:rPr>
          <w:rFonts w:ascii="Times New Roman" w:cs="Times New Roman" w:eastAsia="Times New Roman" w:hAnsi="Times New Roman"/>
          <w:b w:val="1"/>
          <w:color w:val="1b1c1d"/>
          <w:sz w:val="22"/>
          <w:szCs w:val="22"/>
          <w:rtl w:val="0"/>
        </w:rPr>
        <w:t xml:space="preserve">Cardiorespiratory Distress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rtl w:val="0"/>
        </w:rPr>
        <w:t xml:space="preserve">Tachypnea/Bradypnea</w:t>
      </w:r>
      <w:r w:rsidDel="00000000" w:rsidR="00000000" w:rsidRPr="00000000">
        <w:rPr>
          <w:rFonts w:ascii="Times New Roman" w:cs="Times New Roman" w:eastAsia="Times New Roman" w:hAnsi="Times New Roman"/>
          <w:color w:val="1b1c1d"/>
          <w:sz w:val="24"/>
          <w:szCs w:val="24"/>
          <w:rtl w:val="0"/>
        </w:rPr>
        <w:t xml:space="preserve">: May indicate dehydration, metabolic acidosis, or respiratory compromise.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Tachycardia/Bradycardia</w:t>
      </w:r>
      <w:r w:rsidDel="00000000" w:rsidR="00000000" w:rsidRPr="00000000">
        <w:rPr>
          <w:rFonts w:ascii="Times New Roman" w:cs="Times New Roman" w:eastAsia="Times New Roman" w:hAnsi="Times New Roman"/>
          <w:color w:val="1b1c1d"/>
          <w:sz w:val="24"/>
          <w:szCs w:val="24"/>
          <w:rtl w:val="0"/>
        </w:rPr>
        <w:t xml:space="preserve">: Suggests dehydration, electrolyte imbalance, or cardiac dysfunction.</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Hypotension</w:t>
      </w:r>
      <w:r w:rsidDel="00000000" w:rsidR="00000000" w:rsidRPr="00000000">
        <w:rPr>
          <w:rFonts w:ascii="Times New Roman" w:cs="Times New Roman" w:eastAsia="Times New Roman" w:hAnsi="Times New Roman"/>
          <w:color w:val="1b1c1d"/>
          <w:sz w:val="24"/>
          <w:szCs w:val="24"/>
          <w:rtl w:val="0"/>
        </w:rPr>
        <w:t xml:space="preserve">: A late sign of </w:t>
      </w:r>
      <w:r w:rsidDel="00000000" w:rsidR="00000000" w:rsidRPr="00000000">
        <w:rPr>
          <w:rFonts w:ascii="Times New Roman" w:cs="Times New Roman" w:eastAsia="Times New Roman" w:hAnsi="Times New Roman"/>
          <w:b w:val="1"/>
          <w:color w:val="1b1c1d"/>
          <w:sz w:val="24"/>
          <w:szCs w:val="24"/>
          <w:rtl w:val="0"/>
        </w:rPr>
        <w:t xml:space="preserve">severe dehydration and shock</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Cyanosis</w:t>
      </w:r>
      <w:r w:rsidDel="00000000" w:rsidR="00000000" w:rsidRPr="00000000">
        <w:rPr>
          <w:rFonts w:ascii="Times New Roman" w:cs="Times New Roman" w:eastAsia="Times New Roman" w:hAnsi="Times New Roman"/>
          <w:color w:val="1b1c1d"/>
          <w:sz w:val="24"/>
          <w:szCs w:val="24"/>
          <w:rtl w:val="0"/>
        </w:rPr>
        <w:t xml:space="preserve">: Poor oxygenation requiring urgent assessment.</w:t>
      </w:r>
    </w:p>
    <w:p w:rsidR="00000000" w:rsidDel="00000000" w:rsidP="00000000" w:rsidRDefault="00000000" w:rsidRPr="00000000" w14:paraId="00000010">
      <w:pPr>
        <w:pStyle w:val="Heading4"/>
        <w:keepNext w:val="0"/>
        <w:keepLines w:val="0"/>
        <w:pBdr>
          <w:top w:color="auto" w:space="0" w:sz="0" w:val="none"/>
          <w:bottom w:color="auto" w:space="0" w:sz="0" w:val="none"/>
          <w:right w:color="auto" w:space="0" w:sz="0" w:val="none"/>
          <w:between w:color="auto" w:space="0" w:sz="0" w:val="none"/>
        </w:pBdr>
        <w:spacing w:after="40" w:before="240" w:lineRule="auto"/>
        <w:ind w:left="0" w:firstLine="0"/>
        <w:rPr>
          <w:rFonts w:ascii="Times New Roman" w:cs="Times New Roman" w:eastAsia="Times New Roman" w:hAnsi="Times New Roman"/>
          <w:b w:val="1"/>
          <w:color w:val="1b1c1d"/>
          <w:sz w:val="22"/>
          <w:szCs w:val="22"/>
        </w:rPr>
      </w:pPr>
      <w:bookmarkStart w:colFirst="0" w:colLast="0" w:name="_uf59qcd8mbb3" w:id="4"/>
      <w:bookmarkEnd w:id="4"/>
      <w:r w:rsidDel="00000000" w:rsidR="00000000" w:rsidRPr="00000000">
        <w:rPr>
          <w:rFonts w:ascii="Times New Roman" w:cs="Times New Roman" w:eastAsia="Times New Roman" w:hAnsi="Times New Roman"/>
          <w:b w:val="1"/>
          <w:color w:val="1b1c1d"/>
          <w:sz w:val="22"/>
          <w:szCs w:val="22"/>
          <w:rtl w:val="0"/>
        </w:rPr>
        <w:t xml:space="preserve">Gastrointestinal Red Flags [2]</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rtl w:val="0"/>
        </w:rPr>
        <w:t xml:space="preserve">Bilious Vomiting</w:t>
      </w:r>
      <w:r w:rsidDel="00000000" w:rsidR="00000000" w:rsidRPr="00000000">
        <w:rPr>
          <w:rFonts w:ascii="Times New Roman" w:cs="Times New Roman" w:eastAsia="Times New Roman" w:hAnsi="Times New Roman"/>
          <w:color w:val="1b1c1d"/>
          <w:sz w:val="24"/>
          <w:szCs w:val="24"/>
          <w:rtl w:val="0"/>
        </w:rPr>
        <w:t xml:space="preserve">: Suggests </w:t>
      </w:r>
      <w:r w:rsidDel="00000000" w:rsidR="00000000" w:rsidRPr="00000000">
        <w:rPr>
          <w:rFonts w:ascii="Times New Roman" w:cs="Times New Roman" w:eastAsia="Times New Roman" w:hAnsi="Times New Roman"/>
          <w:b w:val="1"/>
          <w:color w:val="1b1c1d"/>
          <w:sz w:val="24"/>
          <w:szCs w:val="24"/>
          <w:rtl w:val="0"/>
        </w:rPr>
        <w:t xml:space="preserve">intestinal obstruction</w:t>
      </w:r>
      <w:r w:rsidDel="00000000" w:rsidR="00000000" w:rsidRPr="00000000">
        <w:rPr>
          <w:rFonts w:ascii="Times New Roman" w:cs="Times New Roman" w:eastAsia="Times New Roman" w:hAnsi="Times New Roman"/>
          <w:color w:val="1b1c1d"/>
          <w:sz w:val="24"/>
          <w:szCs w:val="24"/>
          <w:rtl w:val="0"/>
        </w:rPr>
        <w:t xml:space="preserve">, especially in infants.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Hematemesis or Coffee-Ground Vomitus</w:t>
      </w:r>
      <w:r w:rsidDel="00000000" w:rsidR="00000000" w:rsidRPr="00000000">
        <w:rPr>
          <w:rFonts w:ascii="Times New Roman" w:cs="Times New Roman" w:eastAsia="Times New Roman" w:hAnsi="Times New Roman"/>
          <w:color w:val="1b1c1d"/>
          <w:sz w:val="24"/>
          <w:szCs w:val="24"/>
          <w:rtl w:val="0"/>
        </w:rPr>
        <w:t xml:space="preserve">: Indicates </w:t>
      </w:r>
      <w:r w:rsidDel="00000000" w:rsidR="00000000" w:rsidRPr="00000000">
        <w:rPr>
          <w:rFonts w:ascii="Times New Roman" w:cs="Times New Roman" w:eastAsia="Times New Roman" w:hAnsi="Times New Roman"/>
          <w:b w:val="1"/>
          <w:color w:val="1b1c1d"/>
          <w:sz w:val="24"/>
          <w:szCs w:val="24"/>
          <w:rtl w:val="0"/>
        </w:rPr>
        <w:t xml:space="preserve">upper GI bleeding</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Bloody Diarrhoea</w:t>
      </w:r>
      <w:r w:rsidDel="00000000" w:rsidR="00000000" w:rsidRPr="00000000">
        <w:rPr>
          <w:rFonts w:ascii="Times New Roman" w:cs="Times New Roman" w:eastAsia="Times New Roman" w:hAnsi="Times New Roman"/>
          <w:color w:val="1b1c1d"/>
          <w:sz w:val="24"/>
          <w:szCs w:val="24"/>
          <w:rtl w:val="0"/>
        </w:rPr>
        <w:t xml:space="preserve">: May signal </w:t>
      </w:r>
      <w:r w:rsidDel="00000000" w:rsidR="00000000" w:rsidRPr="00000000">
        <w:rPr>
          <w:rFonts w:ascii="Times New Roman" w:cs="Times New Roman" w:eastAsia="Times New Roman" w:hAnsi="Times New Roman"/>
          <w:b w:val="1"/>
          <w:color w:val="1b1c1d"/>
          <w:sz w:val="24"/>
          <w:szCs w:val="24"/>
          <w:rtl w:val="0"/>
        </w:rPr>
        <w:t xml:space="preserve">bacterial infection (Shigella, E. coli O157:H7), inflammatory bowel disease, or intussusception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Severe Abdominal Pain/Distention</w:t>
      </w:r>
      <w:r w:rsidDel="00000000" w:rsidR="00000000" w:rsidRPr="00000000">
        <w:rPr>
          <w:rFonts w:ascii="Times New Roman" w:cs="Times New Roman" w:eastAsia="Times New Roman" w:hAnsi="Times New Roman"/>
          <w:color w:val="1b1c1d"/>
          <w:sz w:val="24"/>
          <w:szCs w:val="24"/>
          <w:rtl w:val="0"/>
        </w:rPr>
        <w:t xml:space="preserve">: Suggests </w:t>
      </w:r>
      <w:r w:rsidDel="00000000" w:rsidR="00000000" w:rsidRPr="00000000">
        <w:rPr>
          <w:rFonts w:ascii="Times New Roman" w:cs="Times New Roman" w:eastAsia="Times New Roman" w:hAnsi="Times New Roman"/>
          <w:b w:val="1"/>
          <w:color w:val="1b1c1d"/>
          <w:sz w:val="24"/>
          <w:szCs w:val="24"/>
          <w:rtl w:val="0"/>
        </w:rPr>
        <w:t xml:space="preserve">surgical emergencies (appendicitis, bowel obstruction, intussusception)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5">
      <w:pPr>
        <w:pStyle w:val="Heading4"/>
        <w:keepNext w:val="0"/>
        <w:keepLines w:val="0"/>
        <w:pBdr>
          <w:top w:color="auto" w:space="0" w:sz="0" w:val="none"/>
          <w:bottom w:color="auto" w:space="0" w:sz="0" w:val="none"/>
          <w:right w:color="auto" w:space="0" w:sz="0" w:val="none"/>
          <w:between w:color="auto" w:space="0" w:sz="0" w:val="none"/>
        </w:pBdr>
        <w:spacing w:after="40" w:before="240" w:lineRule="auto"/>
        <w:ind w:left="0" w:firstLine="0"/>
        <w:rPr>
          <w:rFonts w:ascii="Times New Roman" w:cs="Times New Roman" w:eastAsia="Times New Roman" w:hAnsi="Times New Roman"/>
          <w:b w:val="1"/>
          <w:color w:val="1b1c1d"/>
          <w:sz w:val="22"/>
          <w:szCs w:val="22"/>
        </w:rPr>
      </w:pPr>
      <w:bookmarkStart w:colFirst="0" w:colLast="0" w:name="_clxwzre3tgeh" w:id="5"/>
      <w:bookmarkEnd w:id="5"/>
      <w:r w:rsidDel="00000000" w:rsidR="00000000" w:rsidRPr="00000000">
        <w:rPr>
          <w:rFonts w:ascii="Times New Roman" w:cs="Times New Roman" w:eastAsia="Times New Roman" w:hAnsi="Times New Roman"/>
          <w:b w:val="1"/>
          <w:color w:val="1b1c1d"/>
          <w:sz w:val="22"/>
          <w:szCs w:val="22"/>
          <w:rtl w:val="0"/>
        </w:rPr>
        <w:t xml:space="preserve">Severe Dehydration [3]</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rtl w:val="0"/>
        </w:rPr>
        <w:t xml:space="preserve">Sunken Fontanelle (Infants)</w:t>
      </w:r>
      <w:r w:rsidDel="00000000" w:rsidR="00000000" w:rsidRPr="00000000">
        <w:rPr>
          <w:rFonts w:ascii="Times New Roman" w:cs="Times New Roman" w:eastAsia="Times New Roman" w:hAnsi="Times New Roman"/>
          <w:color w:val="1b1c1d"/>
          <w:sz w:val="24"/>
          <w:szCs w:val="24"/>
          <w:rtl w:val="0"/>
        </w:rPr>
        <w:t xml:space="preserve">: Indicates </w:t>
      </w:r>
      <w:r w:rsidDel="00000000" w:rsidR="00000000" w:rsidRPr="00000000">
        <w:rPr>
          <w:rFonts w:ascii="Times New Roman" w:cs="Times New Roman" w:eastAsia="Times New Roman" w:hAnsi="Times New Roman"/>
          <w:b w:val="1"/>
          <w:color w:val="1b1c1d"/>
          <w:sz w:val="24"/>
          <w:szCs w:val="24"/>
          <w:rtl w:val="0"/>
        </w:rPr>
        <w:t xml:space="preserve">significant fluid loss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Absent Tears</w:t>
      </w:r>
      <w:r w:rsidDel="00000000" w:rsidR="00000000" w:rsidRPr="00000000">
        <w:rPr>
          <w:rFonts w:ascii="Times New Roman" w:cs="Times New Roman" w:eastAsia="Times New Roman" w:hAnsi="Times New Roman"/>
          <w:color w:val="1b1c1d"/>
          <w:sz w:val="24"/>
          <w:szCs w:val="24"/>
          <w:rtl w:val="0"/>
        </w:rPr>
        <w:t xml:space="preserve">: Suggests </w:t>
      </w:r>
      <w:r w:rsidDel="00000000" w:rsidR="00000000" w:rsidRPr="00000000">
        <w:rPr>
          <w:rFonts w:ascii="Times New Roman" w:cs="Times New Roman" w:eastAsia="Times New Roman" w:hAnsi="Times New Roman"/>
          <w:b w:val="1"/>
          <w:color w:val="1b1c1d"/>
          <w:sz w:val="24"/>
          <w:szCs w:val="24"/>
          <w:rtl w:val="0"/>
        </w:rPr>
        <w:t xml:space="preserve">moderate to severe dehydration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Minimal Urine Output</w:t>
      </w:r>
      <w:r w:rsidDel="00000000" w:rsidR="00000000" w:rsidRPr="00000000">
        <w:rPr>
          <w:rFonts w:ascii="Times New Roman" w:cs="Times New Roman" w:eastAsia="Times New Roman" w:hAnsi="Times New Roman"/>
          <w:color w:val="1b1c1d"/>
          <w:sz w:val="24"/>
          <w:szCs w:val="24"/>
          <w:rtl w:val="0"/>
        </w:rPr>
        <w:t xml:space="preserve">: Key dehydration marker.</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Cool, Clammy Extremities</w:t>
      </w:r>
      <w:r w:rsidDel="00000000" w:rsidR="00000000" w:rsidRPr="00000000">
        <w:rPr>
          <w:rFonts w:ascii="Times New Roman" w:cs="Times New Roman" w:eastAsia="Times New Roman" w:hAnsi="Times New Roman"/>
          <w:color w:val="1b1c1d"/>
          <w:sz w:val="24"/>
          <w:szCs w:val="24"/>
          <w:rtl w:val="0"/>
        </w:rPr>
        <w:t xml:space="preserve">: Poor perfusion due to </w:t>
      </w:r>
      <w:r w:rsidDel="00000000" w:rsidR="00000000" w:rsidRPr="00000000">
        <w:rPr>
          <w:rFonts w:ascii="Times New Roman" w:cs="Times New Roman" w:eastAsia="Times New Roman" w:hAnsi="Times New Roman"/>
          <w:b w:val="1"/>
          <w:color w:val="1b1c1d"/>
          <w:sz w:val="24"/>
          <w:szCs w:val="24"/>
          <w:rtl w:val="0"/>
        </w:rPr>
        <w:t xml:space="preserve">shock</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A">
      <w:pPr>
        <w:pStyle w:val="Heading4"/>
        <w:keepNext w:val="0"/>
        <w:keepLines w:val="0"/>
        <w:pBdr>
          <w:top w:color="auto" w:space="0" w:sz="0" w:val="none"/>
          <w:bottom w:color="auto" w:space="0" w:sz="0" w:val="none"/>
          <w:right w:color="auto" w:space="0" w:sz="0" w:val="none"/>
          <w:between w:color="auto" w:space="0" w:sz="0" w:val="none"/>
        </w:pBdr>
        <w:spacing w:after="40" w:before="240" w:lineRule="auto"/>
        <w:ind w:left="0" w:firstLine="0"/>
        <w:rPr>
          <w:rFonts w:ascii="Times New Roman" w:cs="Times New Roman" w:eastAsia="Times New Roman" w:hAnsi="Times New Roman"/>
          <w:b w:val="1"/>
          <w:color w:val="1b1c1d"/>
          <w:sz w:val="22"/>
          <w:szCs w:val="22"/>
        </w:rPr>
      </w:pPr>
      <w:bookmarkStart w:colFirst="0" w:colLast="0" w:name="_go9pqpdv7wej" w:id="6"/>
      <w:bookmarkEnd w:id="6"/>
      <w:r w:rsidDel="00000000" w:rsidR="00000000" w:rsidRPr="00000000">
        <w:rPr>
          <w:rFonts w:ascii="Times New Roman" w:cs="Times New Roman" w:eastAsia="Times New Roman" w:hAnsi="Times New Roman"/>
          <w:b w:val="1"/>
          <w:color w:val="1b1c1d"/>
          <w:sz w:val="22"/>
          <w:szCs w:val="22"/>
          <w:rtl w:val="0"/>
        </w:rPr>
        <w:t xml:space="preserve">Atypical History and Epidemiology [4]</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rtl w:val="0"/>
        </w:rPr>
        <w:t xml:space="preserve">Age &lt; 3 Months</w:t>
      </w:r>
      <w:r w:rsidDel="00000000" w:rsidR="00000000" w:rsidRPr="00000000">
        <w:rPr>
          <w:rFonts w:ascii="Times New Roman" w:cs="Times New Roman" w:eastAsia="Times New Roman" w:hAnsi="Times New Roman"/>
          <w:color w:val="1b1c1d"/>
          <w:sz w:val="24"/>
          <w:szCs w:val="24"/>
          <w:rtl w:val="0"/>
        </w:rPr>
        <w:t xml:space="preserve">: Higher risk of </w:t>
      </w:r>
      <w:r w:rsidDel="00000000" w:rsidR="00000000" w:rsidRPr="00000000">
        <w:rPr>
          <w:rFonts w:ascii="Times New Roman" w:cs="Times New Roman" w:eastAsia="Times New Roman" w:hAnsi="Times New Roman"/>
          <w:b w:val="1"/>
          <w:color w:val="1b1c1d"/>
          <w:sz w:val="24"/>
          <w:szCs w:val="24"/>
          <w:rtl w:val="0"/>
        </w:rPr>
        <w:t xml:space="preserve">severe dehydration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Prematurity/Underlying Comorbidities</w:t>
      </w:r>
      <w:r w:rsidDel="00000000" w:rsidR="00000000" w:rsidRPr="00000000">
        <w:rPr>
          <w:rFonts w:ascii="Times New Roman" w:cs="Times New Roman" w:eastAsia="Times New Roman" w:hAnsi="Times New Roman"/>
          <w:color w:val="1b1c1d"/>
          <w:sz w:val="24"/>
          <w:szCs w:val="24"/>
          <w:rtl w:val="0"/>
        </w:rPr>
        <w:t xml:space="preserve">: Increased risk in </w:t>
      </w:r>
      <w:r w:rsidDel="00000000" w:rsidR="00000000" w:rsidRPr="00000000">
        <w:rPr>
          <w:rFonts w:ascii="Times New Roman" w:cs="Times New Roman" w:eastAsia="Times New Roman" w:hAnsi="Times New Roman"/>
          <w:b w:val="1"/>
          <w:color w:val="1b1c1d"/>
          <w:sz w:val="24"/>
          <w:szCs w:val="24"/>
          <w:rtl w:val="0"/>
        </w:rPr>
        <w:t xml:space="preserve">cardiac, renal, or metabolic disorders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Travel History</w:t>
      </w:r>
      <w:r w:rsidDel="00000000" w:rsidR="00000000" w:rsidRPr="00000000">
        <w:rPr>
          <w:rFonts w:ascii="Times New Roman" w:cs="Times New Roman" w:eastAsia="Times New Roman" w:hAnsi="Times New Roman"/>
          <w:color w:val="1b1c1d"/>
          <w:sz w:val="24"/>
          <w:szCs w:val="24"/>
          <w:rtl w:val="0"/>
        </w:rPr>
        <w:t xml:space="preserve">: Raises suspicion for endemic infections.</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Outbreak Association</w:t>
      </w:r>
      <w:r w:rsidDel="00000000" w:rsidR="00000000" w:rsidRPr="00000000">
        <w:rPr>
          <w:rFonts w:ascii="Times New Roman" w:cs="Times New Roman" w:eastAsia="Times New Roman" w:hAnsi="Times New Roman"/>
          <w:color w:val="1b1c1d"/>
          <w:sz w:val="24"/>
          <w:szCs w:val="24"/>
          <w:rtl w:val="0"/>
        </w:rPr>
        <w:t xml:space="preserve">: Heightened concern for virulent pathogens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rFonts w:ascii="Times New Roman" w:cs="Times New Roman" w:eastAsia="Times New Roman" w:hAnsi="Times New Roman"/>
          <w:b w:val="1"/>
          <w:color w:val="1b1c1d"/>
          <w:sz w:val="26"/>
          <w:szCs w:val="26"/>
        </w:rPr>
      </w:pPr>
      <w:bookmarkStart w:colFirst="0" w:colLast="0" w:name="_te0xvbxvdqyu" w:id="7"/>
      <w:bookmarkEnd w:id="7"/>
      <w:r w:rsidDel="00000000" w:rsidR="00000000" w:rsidRPr="00000000">
        <w:rPr>
          <w:rFonts w:ascii="Times New Roman" w:cs="Times New Roman" w:eastAsia="Times New Roman" w:hAnsi="Times New Roman"/>
          <w:b w:val="1"/>
          <w:color w:val="1b1c1d"/>
          <w:sz w:val="26"/>
          <w:szCs w:val="26"/>
          <w:rtl w:val="0"/>
        </w:rPr>
        <w:t xml:space="preserve">Case Studies: Uncommon Symptoms and Severe Outcomes</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Atypical Intussusception</w:t>
      </w:r>
    </w:p>
    <w:p w:rsidR="00000000" w:rsidDel="00000000" w:rsidP="00000000" w:rsidRDefault="00000000" w:rsidRPr="00000000" w14:paraId="00000021">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2-year-old</w:t>
      </w:r>
      <w:r w:rsidDel="00000000" w:rsidR="00000000" w:rsidRPr="00000000">
        <w:rPr>
          <w:rFonts w:ascii="Times New Roman" w:cs="Times New Roman" w:eastAsia="Times New Roman" w:hAnsi="Times New Roman"/>
          <w:color w:val="1b1c1d"/>
          <w:sz w:val="24"/>
          <w:szCs w:val="24"/>
          <w:rtl w:val="0"/>
        </w:rPr>
        <w:t xml:space="preserve"> with intermittent vomiting, mild diarrhoea, and unusual lethargy.</w:t>
      </w:r>
    </w:p>
    <w:p w:rsidR="00000000" w:rsidDel="00000000" w:rsidP="00000000" w:rsidRDefault="00000000" w:rsidRPr="00000000" w14:paraId="00000022">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Initially diagnosed as viral gastroenteritis.</w:t>
      </w:r>
    </w:p>
    <w:p w:rsidR="00000000" w:rsidDel="00000000" w:rsidP="00000000" w:rsidRDefault="00000000" w:rsidRPr="00000000" w14:paraId="00000023">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Repeat exam revealed </w:t>
      </w:r>
      <w:r w:rsidDel="00000000" w:rsidR="00000000" w:rsidRPr="00000000">
        <w:rPr>
          <w:rFonts w:ascii="Times New Roman" w:cs="Times New Roman" w:eastAsia="Times New Roman" w:hAnsi="Times New Roman"/>
          <w:b w:val="1"/>
          <w:color w:val="1b1c1d"/>
          <w:sz w:val="24"/>
          <w:szCs w:val="24"/>
          <w:rtl w:val="0"/>
        </w:rPr>
        <w:t xml:space="preserve">mild distension and a right upper quadrant mass</w:t>
      </w:r>
      <w:r w:rsidDel="00000000" w:rsidR="00000000" w:rsidRPr="00000000">
        <w:rPr>
          <w:rFonts w:ascii="Cardo" w:cs="Cardo" w:eastAsia="Cardo" w:hAnsi="Cardo"/>
          <w:color w:val="1b1c1d"/>
          <w:sz w:val="24"/>
          <w:szCs w:val="24"/>
          <w:rtl w:val="0"/>
        </w:rPr>
        <w:t xml:space="preserve"> → </w:t>
      </w:r>
      <w:r w:rsidDel="00000000" w:rsidR="00000000" w:rsidRPr="00000000">
        <w:rPr>
          <w:rFonts w:ascii="Times New Roman" w:cs="Times New Roman" w:eastAsia="Times New Roman" w:hAnsi="Times New Roman"/>
          <w:b w:val="1"/>
          <w:color w:val="1b1c1d"/>
          <w:sz w:val="24"/>
          <w:szCs w:val="24"/>
          <w:rtl w:val="0"/>
        </w:rPr>
        <w:t xml:space="preserve">Confirmed ileocolic intussusception via ultrasound</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4">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Key takeaway</w:t>
      </w:r>
      <w:r w:rsidDel="00000000" w:rsidR="00000000" w:rsidRPr="00000000">
        <w:rPr>
          <w:rFonts w:ascii="Times New Roman" w:cs="Times New Roman" w:eastAsia="Times New Roman" w:hAnsi="Times New Roman"/>
          <w:color w:val="1b1c1d"/>
          <w:sz w:val="24"/>
          <w:szCs w:val="24"/>
          <w:rtl w:val="0"/>
        </w:rPr>
        <w:t xml:space="preserve">: Intussusception can have </w:t>
      </w:r>
      <w:r w:rsidDel="00000000" w:rsidR="00000000" w:rsidRPr="00000000">
        <w:rPr>
          <w:rFonts w:ascii="Times New Roman" w:cs="Times New Roman" w:eastAsia="Times New Roman" w:hAnsi="Times New Roman"/>
          <w:b w:val="1"/>
          <w:color w:val="1b1c1d"/>
          <w:sz w:val="24"/>
          <w:szCs w:val="24"/>
          <w:rtl w:val="0"/>
        </w:rPr>
        <w:t xml:space="preserve">atypical presentations</w:t>
      </w:r>
      <w:r w:rsidDel="00000000" w:rsidR="00000000" w:rsidRPr="00000000">
        <w:rPr>
          <w:rFonts w:ascii="Times New Roman" w:cs="Times New Roman" w:eastAsia="Times New Roman" w:hAnsi="Times New Roman"/>
          <w:color w:val="1b1c1d"/>
          <w:sz w:val="24"/>
          <w:szCs w:val="24"/>
          <w:rtl w:val="0"/>
        </w:rPr>
        <w:t xml:space="preserve">, requiring vigilance.</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Hypernatremic Dehydration &amp; Diabetes Insipidus</w:t>
      </w:r>
    </w:p>
    <w:p w:rsidR="00000000" w:rsidDel="00000000" w:rsidP="00000000" w:rsidRDefault="00000000" w:rsidRPr="00000000" w14:paraId="00000026">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3-month-old</w:t>
      </w:r>
      <w:r w:rsidDel="00000000" w:rsidR="00000000" w:rsidRPr="00000000">
        <w:rPr>
          <w:rFonts w:ascii="Times New Roman" w:cs="Times New Roman" w:eastAsia="Times New Roman" w:hAnsi="Times New Roman"/>
          <w:color w:val="1b1c1d"/>
          <w:sz w:val="24"/>
          <w:szCs w:val="24"/>
          <w:rtl w:val="0"/>
        </w:rPr>
        <w:t xml:space="preserve"> with persistent vomiting and diarrhoea, dehydrated despite ORS.</w:t>
      </w:r>
    </w:p>
    <w:p w:rsidR="00000000" w:rsidDel="00000000" w:rsidP="00000000" w:rsidRDefault="00000000" w:rsidRPr="00000000" w14:paraId="00000027">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Lab tests revealed </w:t>
      </w:r>
      <w:r w:rsidDel="00000000" w:rsidR="00000000" w:rsidRPr="00000000">
        <w:rPr>
          <w:rFonts w:ascii="Times New Roman" w:cs="Times New Roman" w:eastAsia="Times New Roman" w:hAnsi="Times New Roman"/>
          <w:b w:val="1"/>
          <w:color w:val="1b1c1d"/>
          <w:sz w:val="24"/>
          <w:szCs w:val="24"/>
          <w:rtl w:val="0"/>
        </w:rPr>
        <w:t xml:space="preserve">hypernatremia</w:t>
      </w:r>
      <w:r w:rsidDel="00000000" w:rsidR="00000000" w:rsidRPr="00000000">
        <w:rPr>
          <w:rFonts w:ascii="Cardo" w:cs="Cardo" w:eastAsia="Cardo" w:hAnsi="Cardo"/>
          <w:color w:val="1b1c1d"/>
          <w:sz w:val="24"/>
          <w:szCs w:val="24"/>
          <w:rtl w:val="0"/>
        </w:rPr>
        <w:t xml:space="preserve"> → </w:t>
      </w:r>
      <w:r w:rsidDel="00000000" w:rsidR="00000000" w:rsidRPr="00000000">
        <w:rPr>
          <w:rFonts w:ascii="Times New Roman" w:cs="Times New Roman" w:eastAsia="Times New Roman" w:hAnsi="Times New Roman"/>
          <w:b w:val="1"/>
          <w:color w:val="1b1c1d"/>
          <w:sz w:val="24"/>
          <w:szCs w:val="24"/>
          <w:rtl w:val="0"/>
        </w:rPr>
        <w:t xml:space="preserve">Diagnosis: Central diabetes insipidus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8">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Key takeaway</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b w:val="1"/>
          <w:color w:val="1b1c1d"/>
          <w:sz w:val="24"/>
          <w:szCs w:val="24"/>
          <w:rtl w:val="0"/>
        </w:rPr>
        <w:t xml:space="preserve">Unresponsive dehydration with hypernatremia</w:t>
      </w:r>
      <w:r w:rsidDel="00000000" w:rsidR="00000000" w:rsidRPr="00000000">
        <w:rPr>
          <w:rFonts w:ascii="Times New Roman" w:cs="Times New Roman" w:eastAsia="Times New Roman" w:hAnsi="Times New Roman"/>
          <w:color w:val="1b1c1d"/>
          <w:sz w:val="24"/>
          <w:szCs w:val="24"/>
          <w:rtl w:val="0"/>
        </w:rPr>
        <w:t xml:space="preserve"> warrants further investigation.</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Severe Rotavirus with Neurological Complications</w:t>
      </w:r>
    </w:p>
    <w:p w:rsidR="00000000" w:rsidDel="00000000" w:rsidP="00000000" w:rsidRDefault="00000000" w:rsidRPr="00000000" w14:paraId="0000002A">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6-month-old</w:t>
      </w:r>
      <w:r w:rsidDel="00000000" w:rsidR="00000000" w:rsidRPr="00000000">
        <w:rPr>
          <w:rFonts w:ascii="Times New Roman" w:cs="Times New Roman" w:eastAsia="Times New Roman" w:hAnsi="Times New Roman"/>
          <w:color w:val="1b1c1d"/>
          <w:sz w:val="24"/>
          <w:szCs w:val="24"/>
          <w:rtl w:val="0"/>
        </w:rPr>
        <w:t xml:space="preserve"> with rotavirus gastroenteritis and severe </w:t>
      </w:r>
      <w:r w:rsidDel="00000000" w:rsidR="00000000" w:rsidRPr="00000000">
        <w:rPr>
          <w:rFonts w:ascii="Times New Roman" w:cs="Times New Roman" w:eastAsia="Times New Roman" w:hAnsi="Times New Roman"/>
          <w:b w:val="1"/>
          <w:color w:val="1b1c1d"/>
          <w:sz w:val="24"/>
          <w:szCs w:val="24"/>
          <w:rtl w:val="0"/>
        </w:rPr>
        <w:t xml:space="preserve">dehydration and hyponatremia</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B">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Developed </w:t>
      </w:r>
      <w:r w:rsidDel="00000000" w:rsidR="00000000" w:rsidRPr="00000000">
        <w:rPr>
          <w:rFonts w:ascii="Times New Roman" w:cs="Times New Roman" w:eastAsia="Times New Roman" w:hAnsi="Times New Roman"/>
          <w:b w:val="1"/>
          <w:color w:val="1b1c1d"/>
          <w:sz w:val="24"/>
          <w:szCs w:val="24"/>
          <w:rtl w:val="0"/>
        </w:rPr>
        <w:t xml:space="preserve">seizures</w:t>
      </w:r>
      <w:r w:rsidDel="00000000" w:rsidR="00000000" w:rsidRPr="00000000">
        <w:rPr>
          <w:rFonts w:ascii="Times New Roman" w:cs="Times New Roman" w:eastAsia="Times New Roman" w:hAnsi="Times New Roman"/>
          <w:color w:val="1b1c1d"/>
          <w:sz w:val="24"/>
          <w:szCs w:val="24"/>
          <w:rtl w:val="0"/>
        </w:rPr>
        <w:t xml:space="preserve">, later diagnosed with </w:t>
      </w:r>
      <w:r w:rsidDel="00000000" w:rsidR="00000000" w:rsidRPr="00000000">
        <w:rPr>
          <w:rFonts w:ascii="Times New Roman" w:cs="Times New Roman" w:eastAsia="Times New Roman" w:hAnsi="Times New Roman"/>
          <w:b w:val="1"/>
          <w:color w:val="1b1c1d"/>
          <w:sz w:val="24"/>
          <w:szCs w:val="24"/>
          <w:rtl w:val="0"/>
        </w:rPr>
        <w:t xml:space="preserve">rotavirus encephalitis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C">
      <w:pPr>
        <w:numPr>
          <w:ilvl w:val="1"/>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Key takeaway</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b w:val="1"/>
          <w:color w:val="1b1c1d"/>
          <w:sz w:val="24"/>
          <w:szCs w:val="24"/>
          <w:rtl w:val="0"/>
        </w:rPr>
        <w:t xml:space="preserve">Monitor for neurological complications in severe gastroenteritis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20" w:lineRule="auto"/>
        <w:rPr>
          <w:rFonts w:ascii="Times New Roman" w:cs="Times New Roman" w:eastAsia="Times New Roman" w:hAnsi="Times New Roman"/>
          <w:b w:val="1"/>
          <w:color w:val="1b1c1d"/>
          <w:sz w:val="30"/>
          <w:szCs w:val="30"/>
        </w:rPr>
      </w:pPr>
      <w:bookmarkStart w:colFirst="0" w:colLast="0" w:name="_zejo7p3sdckc" w:id="8"/>
      <w:bookmarkEnd w:id="8"/>
      <w:r w:rsidDel="00000000" w:rsidR="00000000" w:rsidRPr="00000000">
        <w:rPr>
          <w:rFonts w:ascii="Times New Roman" w:cs="Times New Roman" w:eastAsia="Times New Roman" w:hAnsi="Times New Roman"/>
          <w:b w:val="1"/>
          <w:color w:val="1b1c1d"/>
          <w:sz w:val="30"/>
          <w:szCs w:val="30"/>
          <w:rtl w:val="0"/>
        </w:rPr>
        <w:t xml:space="preserve">Interactive Clinical Decision Tools for Pediatricians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To aid in the rapid and accurate assessment of pediatric vomiting and diarrhoea, interactive clinical decision tools can be invaluable.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Interactive Clinical Decision Tool Features:</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Symptom-Based Risk Stratification:</w:t>
      </w:r>
      <w:r w:rsidDel="00000000" w:rsidR="00000000" w:rsidRPr="00000000">
        <w:rPr>
          <w:rFonts w:ascii="Times New Roman" w:cs="Times New Roman" w:eastAsia="Times New Roman" w:hAnsi="Times New Roman"/>
          <w:color w:val="1b1c1d"/>
          <w:sz w:val="24"/>
          <w:szCs w:val="24"/>
          <w:rtl w:val="0"/>
        </w:rPr>
        <w:t xml:space="preserve"> A digital tool that allows clinicians to input patient symptoms (vomiting frequency, diarrhoea characteristics, neurological signs, etc.) and automatically stratifies the risk of severe outcomes (low, intermediate, high).</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Red Flag Alert System:</w:t>
      </w:r>
      <w:r w:rsidDel="00000000" w:rsidR="00000000" w:rsidRPr="00000000">
        <w:rPr>
          <w:rFonts w:ascii="Times New Roman" w:cs="Times New Roman" w:eastAsia="Times New Roman" w:hAnsi="Times New Roman"/>
          <w:color w:val="1b1c1d"/>
          <w:sz w:val="24"/>
          <w:szCs w:val="24"/>
          <w:rtl w:val="0"/>
        </w:rPr>
        <w:t xml:space="preserve"> The tool should prominently highlight red flag symptoms as they are entered, prompting immediate consideration of further investigations or escalation of care.</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Differential Diagnosis Generator :</w:t>
      </w:r>
      <w:r w:rsidDel="00000000" w:rsidR="00000000" w:rsidRPr="00000000">
        <w:rPr>
          <w:rFonts w:ascii="Times New Roman" w:cs="Times New Roman" w:eastAsia="Times New Roman" w:hAnsi="Times New Roman"/>
          <w:color w:val="1b1c1d"/>
          <w:sz w:val="24"/>
          <w:szCs w:val="24"/>
          <w:rtl w:val="0"/>
        </w:rPr>
        <w:t xml:space="preserve"> Based on symptom input, the tool could generate a differential diagnosis list, including common and less common causes of vomiting and diarrhoea, aiding in considering broader diagnostic possibilities.</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Dehydration Assessment Aid[5]:</w:t>
      </w:r>
      <w:r w:rsidDel="00000000" w:rsidR="00000000" w:rsidRPr="00000000">
        <w:rPr>
          <w:rFonts w:ascii="Times New Roman" w:cs="Times New Roman" w:eastAsia="Times New Roman" w:hAnsi="Times New Roman"/>
          <w:color w:val="1b1c1d"/>
          <w:sz w:val="24"/>
          <w:szCs w:val="24"/>
          <w:rtl w:val="0"/>
        </w:rPr>
        <w:t xml:space="preserve"> An interactive module to guide clinicians through the clinical assessment of dehydration, incorporating physical exam findings (mucous membranes, skin turgor, capillary refill) and vital signs, and estimating dehydration percentage.</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Electrolyte Imbalance Guide[6]:</w:t>
      </w:r>
      <w:r w:rsidDel="00000000" w:rsidR="00000000" w:rsidRPr="00000000">
        <w:rPr>
          <w:rFonts w:ascii="Times New Roman" w:cs="Times New Roman" w:eastAsia="Times New Roman" w:hAnsi="Times New Roman"/>
          <w:color w:val="1b1c1d"/>
          <w:sz w:val="24"/>
          <w:szCs w:val="24"/>
          <w:rtl w:val="0"/>
        </w:rPr>
        <w:t xml:space="preserve"> A resource within the tool providing quick reference information on common electrolyte imbalances associated with vomiting and diarrhoea (hyponatremia, hypernatremia, hypokalemia), their symptoms, and initial management strategies.</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rFonts w:ascii="Times New Roman" w:cs="Times New Roman" w:eastAsia="Times New Roman" w:hAnsi="Times New Roman"/>
          <w:b w:val="1"/>
          <w:color w:val="1b1c1d"/>
          <w:sz w:val="26"/>
          <w:szCs w:val="26"/>
        </w:rPr>
      </w:pPr>
      <w:bookmarkStart w:colFirst="0" w:colLast="0" w:name="_clagoj5g495g" w:id="9"/>
      <w:bookmarkEnd w:id="9"/>
      <w:r w:rsidDel="00000000" w:rsidR="00000000" w:rsidRPr="00000000">
        <w:rPr>
          <w:rFonts w:ascii="Times New Roman" w:cs="Times New Roman" w:eastAsia="Times New Roman" w:hAnsi="Times New Roman"/>
          <w:b w:val="1"/>
          <w:color w:val="1b1c1d"/>
          <w:sz w:val="26"/>
          <w:szCs w:val="26"/>
          <w:rtl w:val="0"/>
        </w:rPr>
        <w:t xml:space="preserve">Conclusion &amp; Call to Action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Recognizing red flags in pediatric vomiting and diarrhoea, especially atypical and severe cases, is critical for preventing adverse outcomes. Pediatricians must move beyond recognizing typical signs and actively look for subtle indicators of serious illness. Advanced diagnostic approaches, awareness of rare conditions, and clinical decision support tools can enhance accuracy and enable timely intervention.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Continuous education, case-based learning, and interactive tools are essential to equip pediatricians with the confidence and expertise to manage complex pediatric gastroenterological cases effectively.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Citations:</w:t>
      </w:r>
    </w:p>
    <w:p w:rsidR="00000000" w:rsidDel="00000000" w:rsidP="00000000" w:rsidRDefault="00000000" w:rsidRPr="00000000" w14:paraId="0000003B">
      <w:pPr>
        <w:pStyle w:val="Heading4"/>
        <w:rPr>
          <w:b w:val="1"/>
        </w:rPr>
      </w:pPr>
      <w:bookmarkStart w:colFirst="0" w:colLast="0" w:name="_er6jaklak8td" w:id="10"/>
      <w:bookmarkEnd w:id="10"/>
      <w:r w:rsidDel="00000000" w:rsidR="00000000" w:rsidRPr="00000000">
        <w:rPr>
          <w:b w:val="1"/>
          <w:rtl w:val="0"/>
        </w:rPr>
        <w:t xml:space="preserve">[1]Gary N. McAbee, Anne Marie Morse, Ward Cook, Vivian Tang, Yuri Brosgol,Neurological Etiologies and Pathophysiology of Cyclic Vomiting Syndrome,Pediatric Neurology,Volume 106,2020,Pages 4-9,ISSN 0887-8994,</w:t>
      </w:r>
    </w:p>
    <w:p w:rsidR="00000000" w:rsidDel="00000000" w:rsidP="00000000" w:rsidRDefault="00000000" w:rsidRPr="00000000" w14:paraId="0000003C">
      <w:pPr>
        <w:pStyle w:val="Heading4"/>
        <w:rPr>
          <w:b w:val="1"/>
        </w:rPr>
      </w:pPr>
      <w:bookmarkStart w:colFirst="0" w:colLast="0" w:name="_b9qkedaf1nqh" w:id="11"/>
      <w:bookmarkEnd w:id="11"/>
      <w:r w:rsidDel="00000000" w:rsidR="00000000" w:rsidRPr="00000000">
        <w:rPr>
          <w:b w:val="1"/>
          <w:rtl w:val="0"/>
        </w:rPr>
        <w:t xml:space="preserve">https://doi.org/10.1016/j.pediatrneurol.2019.12.001.</w:t>
      </w:r>
    </w:p>
    <w:p w:rsidR="00000000" w:rsidDel="00000000" w:rsidP="00000000" w:rsidRDefault="00000000" w:rsidRPr="00000000" w14:paraId="0000003D">
      <w:pPr>
        <w:pStyle w:val="Heading4"/>
        <w:rPr>
          <w:b w:val="1"/>
        </w:rPr>
      </w:pPr>
      <w:bookmarkStart w:colFirst="0" w:colLast="0" w:name="_bcw99qwcytgp" w:id="12"/>
      <w:bookmarkEnd w:id="12"/>
      <w:r w:rsidDel="00000000" w:rsidR="00000000" w:rsidRPr="00000000">
        <w:rPr>
          <w:b w:val="1"/>
          <w:rtl w:val="0"/>
        </w:rPr>
        <w:t xml:space="preserve">(</w:t>
      </w:r>
      <w:hyperlink r:id="rId7">
        <w:r w:rsidDel="00000000" w:rsidR="00000000" w:rsidRPr="00000000">
          <w:rPr>
            <w:b w:val="1"/>
            <w:color w:val="1155cc"/>
            <w:u w:val="single"/>
            <w:rtl w:val="0"/>
          </w:rPr>
          <w:t xml:space="preserve">https://www.sciencedirect.com/science/article/pii/S0887899419309646</w:t>
        </w:r>
      </w:hyperlink>
      <w:r w:rsidDel="00000000" w:rsidR="00000000" w:rsidRPr="00000000">
        <w:rPr>
          <w:b w:val="1"/>
          <w:rtl w:val="0"/>
        </w:rPr>
        <w:t xml:space="preserve">)</w:t>
      </w:r>
    </w:p>
    <w:p w:rsidR="00000000" w:rsidDel="00000000" w:rsidP="00000000" w:rsidRDefault="00000000" w:rsidRPr="00000000" w14:paraId="0000003E">
      <w:pPr>
        <w:pStyle w:val="Heading4"/>
        <w:rPr>
          <w:b w:val="1"/>
        </w:rPr>
      </w:pPr>
      <w:bookmarkStart w:colFirst="0" w:colLast="0" w:name="_ophfqw2sntky" w:id="13"/>
      <w:bookmarkEnd w:id="13"/>
      <w:r w:rsidDel="00000000" w:rsidR="00000000" w:rsidRPr="00000000">
        <w:rPr>
          <w:b w:val="1"/>
          <w:rtl w:val="0"/>
        </w:rPr>
        <w:t xml:space="preserve">[2]Koyfman, A., MD. (n.d.). Pediatric dehydration: practice essentials, pathophysiology, etiology. </w:t>
      </w:r>
      <w:hyperlink r:id="rId8">
        <w:r w:rsidDel="00000000" w:rsidR="00000000" w:rsidRPr="00000000">
          <w:rPr>
            <w:b w:val="1"/>
            <w:color w:val="1155cc"/>
            <w:u w:val="single"/>
            <w:rtl w:val="0"/>
          </w:rPr>
          <w:t xml:space="preserve">https://emedicine.medscape.com/article/801012-overview?form=fpf#a</w:t>
        </w:r>
      </w:hyperlink>
      <w:r w:rsidDel="00000000" w:rsidR="00000000" w:rsidRPr="00000000">
        <w:rPr>
          <w:rtl w:val="0"/>
        </w:rPr>
      </w:r>
    </w:p>
    <w:p w:rsidR="00000000" w:rsidDel="00000000" w:rsidP="00000000" w:rsidRDefault="00000000" w:rsidRPr="00000000" w14:paraId="0000003F">
      <w:pPr>
        <w:pStyle w:val="Heading4"/>
        <w:rPr>
          <w:b w:val="1"/>
        </w:rPr>
      </w:pPr>
      <w:bookmarkStart w:colFirst="0" w:colLast="0" w:name="_iv2yo0qifnm1" w:id="14"/>
      <w:bookmarkEnd w:id="14"/>
      <w:r w:rsidDel="00000000" w:rsidR="00000000" w:rsidRPr="00000000">
        <w:rPr>
          <w:b w:val="1"/>
          <w:rtl w:val="0"/>
        </w:rPr>
        <w:t xml:space="preserve">[3]Signs of dehydration in infants &amp; children. (n.d.). HealthyChildren.org. </w:t>
      </w:r>
      <w:hyperlink r:id="rId9">
        <w:r w:rsidDel="00000000" w:rsidR="00000000" w:rsidRPr="00000000">
          <w:rPr>
            <w:b w:val="1"/>
            <w:color w:val="1155cc"/>
            <w:u w:val="single"/>
            <w:rtl w:val="0"/>
          </w:rPr>
          <w:t xml:space="preserve">https://www.healthychildren.org/English/health-issues/injuries-emergencies/Pages/dehydration.aspx</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b w:val="1"/>
        </w:rPr>
      </w:pPr>
      <w:bookmarkStart w:colFirst="0" w:colLast="0" w:name="_2q8wfjxr1xpn" w:id="15"/>
      <w:bookmarkEnd w:id="15"/>
      <w:r w:rsidDel="00000000" w:rsidR="00000000" w:rsidRPr="00000000">
        <w:rPr>
          <w:b w:val="1"/>
          <w:rtl w:val="0"/>
        </w:rPr>
        <w:t xml:space="preserve">[4]Farfán-García, Ana E et al. “Etiology of acute gastroenteritis among children less than 5 years of age in Bucaramanga, Colombia: A case-control study.” PLoS neglected tropical diseases vol. 14,6 e0008375. 30 Jun, 2020 doi:10.1371/journal.pntd.0008375 </w:t>
      </w:r>
      <w:hyperlink r:id="rId10">
        <w:r w:rsidDel="00000000" w:rsidR="00000000" w:rsidRPr="00000000">
          <w:rPr>
            <w:b w:val="1"/>
            <w:color w:val="1155cc"/>
            <w:u w:val="single"/>
            <w:rtl w:val="0"/>
          </w:rPr>
          <w:t xml:space="preserve">https://www.researchgate.net/publication/377711742_Etiology_of_acute_gastroenteritis_among_pre-school_children_in_Peshawar-KP_Pakistan_a_case_control_study</w:t>
        </w:r>
      </w:hyperlink>
      <w:r w:rsidDel="00000000" w:rsidR="00000000" w:rsidRPr="00000000">
        <w:rPr>
          <w:b w:val="1"/>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b w:val="1"/>
        </w:rPr>
      </w:pPr>
      <w:bookmarkStart w:colFirst="0" w:colLast="0" w:name="_jo8cc9ku80i8" w:id="16"/>
      <w:bookmarkEnd w:id="16"/>
      <w:r w:rsidDel="00000000" w:rsidR="00000000" w:rsidRPr="00000000">
        <w:rPr>
          <w:b w:val="1"/>
          <w:rtl w:val="0"/>
        </w:rPr>
        <w:t xml:space="preserve">[5]THE TREATMENT OF DIARRHOEA A manual for physicians and other senior health workers  </w:t>
      </w:r>
      <w:hyperlink r:id="rId11">
        <w:r w:rsidDel="00000000" w:rsidR="00000000" w:rsidRPr="00000000">
          <w:rPr>
            <w:b w:val="1"/>
            <w:color w:val="1155cc"/>
            <w:u w:val="single"/>
            <w:rtl w:val="0"/>
          </w:rPr>
          <w:t xml:space="preserve">https://apps.who.int/iris/bitstream/handle/10665/43209/9241593180.pdf</w:t>
        </w:r>
      </w:hyperlink>
      <w:r w:rsidDel="00000000" w:rsidR="00000000" w:rsidRPr="00000000">
        <w:rPr>
          <w:rtl w:val="0"/>
        </w:rPr>
      </w:r>
    </w:p>
    <w:p w:rsidR="00000000" w:rsidDel="00000000" w:rsidP="00000000" w:rsidRDefault="00000000" w:rsidRPr="00000000" w14:paraId="00000044">
      <w:pPr>
        <w:pStyle w:val="Heading4"/>
        <w:rPr>
          <w:b w:val="1"/>
        </w:rPr>
      </w:pPr>
      <w:bookmarkStart w:colFirst="0" w:colLast="0" w:name="_lxubk1cff7h7" w:id="17"/>
      <w:bookmarkEnd w:id="17"/>
      <w:r w:rsidDel="00000000" w:rsidR="00000000" w:rsidRPr="00000000">
        <w:rPr>
          <w:b w:val="1"/>
          <w:rtl w:val="0"/>
        </w:rPr>
        <w:t xml:space="preserve">[6]Open Resources for Nursing (Open RN); Ernstmeyer K, Christman E, editors. Nursing Fundamentals [Internet]. Eau Claire (WI): Chippewa Valley Technical College; 2021. Chapter 15 Fluids and Electrolytes. Available from: </w:t>
      </w:r>
      <w:hyperlink r:id="rId12">
        <w:r w:rsidDel="00000000" w:rsidR="00000000" w:rsidRPr="00000000">
          <w:rPr>
            <w:b w:val="1"/>
            <w:color w:val="1155cc"/>
            <w:u w:val="single"/>
            <w:rtl w:val="0"/>
          </w:rPr>
          <w:t xml:space="preserve">https://www.ncbi.nlm.nih.gov/books/NBK591820/?utm_source=chatgpt.com</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b w:val="1"/>
        </w:rPr>
      </w:pPr>
      <w:bookmarkStart w:colFirst="0" w:colLast="0" w:name="_gj22kp3ceo0y" w:id="18"/>
      <w:bookmarkEnd w:id="18"/>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who.int/iris/bitstream/handle/10665/43209/9241593180.pdf" TargetMode="External"/><Relationship Id="rId10" Type="http://schemas.openxmlformats.org/officeDocument/2006/relationships/hyperlink" Target="https://www.researchgate.net/publication/377711742_Etiology_of_acute_gastroenteritis_among_pre-school_children_in_Peshawar-KP_Pakistan_a_case_control_study" TargetMode="External"/><Relationship Id="rId12" Type="http://schemas.openxmlformats.org/officeDocument/2006/relationships/hyperlink" Target="https://www.ncbi.nlm.nih.gov/books/NBK591820/?utm_source=chatgpt.com" TargetMode="External"/><Relationship Id="rId9" Type="http://schemas.openxmlformats.org/officeDocument/2006/relationships/hyperlink" Target="https://www.healthychildren.org/English/health-issues/injuries-emergencies/Pages/dehydration.asp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pii/S0887899419309646" TargetMode="External"/><Relationship Id="rId8" Type="http://schemas.openxmlformats.org/officeDocument/2006/relationships/hyperlink" Target="https://emedicine.medscape.com/article/801012-overview?form=fpf#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