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u98lupr55fk" w:id="0"/>
      <w:bookmarkEnd w:id="0"/>
      <w:r w:rsidDel="00000000" w:rsidR="00000000" w:rsidRPr="00000000">
        <w:rPr>
          <w:b w:val="1"/>
          <w:color w:val="000000"/>
          <w:sz w:val="26"/>
          <w:szCs w:val="26"/>
          <w:rtl w:val="0"/>
        </w:rPr>
        <w:t xml:space="preserve">Case Study: Not Just a Bad Hair Day: Severe Cradle Cap as a Sign of Underlying Issues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i065gtjffpe4"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Cradle cap is a common condition in infants, often dismissed as a benign and self-limiting issue. However, severe cases may indicate more serious underlying conditions such as seborrheic dermatitis or infantile psoriasis. This case study explores the differentiation between typical cradle cap and signs of more serious conditions to ensure appropriate treatment.</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98b092kqfhyg" w:id="2"/>
      <w:bookmarkEnd w:id="2"/>
      <w:r w:rsidDel="00000000" w:rsidR="00000000" w:rsidRPr="00000000">
        <w:rPr>
          <w:b w:val="1"/>
          <w:color w:val="000000"/>
          <w:sz w:val="22"/>
          <w:szCs w:val="22"/>
          <w:rtl w:val="0"/>
        </w:rPr>
        <w:t xml:space="preserve">Background</w:t>
      </w:r>
    </w:p>
    <w:p w:rsidR="00000000" w:rsidDel="00000000" w:rsidP="00000000" w:rsidRDefault="00000000" w:rsidRPr="00000000" w14:paraId="00000005">
      <w:pPr>
        <w:spacing w:after="240" w:before="240" w:lineRule="auto"/>
        <w:rPr/>
      </w:pPr>
      <w:r w:rsidDel="00000000" w:rsidR="00000000" w:rsidRPr="00000000">
        <w:rPr>
          <w:rtl w:val="0"/>
        </w:rPr>
        <w:t xml:space="preserve">Cradle cap, also known as infantile seborrheic dermatitis, is characterized by yellowish, greasy scales on the scalp. While it is usually harmless and resolves with basic care, severe or persistent cases can sometimes signify underlying conditions requiring medical intervention. Recognizing these signs is essential for proper management and preventing complications.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ycz621snbhw8" w:id="3"/>
      <w:bookmarkEnd w:id="3"/>
      <w:r w:rsidDel="00000000" w:rsidR="00000000" w:rsidRPr="00000000">
        <w:rPr>
          <w:b w:val="1"/>
          <w:color w:val="000000"/>
          <w:sz w:val="22"/>
          <w:szCs w:val="22"/>
          <w:rtl w:val="0"/>
        </w:rPr>
        <w:t xml:space="preserve">Presenting Symptoms</w:t>
      </w:r>
    </w:p>
    <w:p w:rsidR="00000000" w:rsidDel="00000000" w:rsidP="00000000" w:rsidRDefault="00000000" w:rsidRPr="00000000" w14:paraId="00000007">
      <w:pPr>
        <w:spacing w:after="240" w:before="240" w:lineRule="auto"/>
        <w:rPr/>
      </w:pPr>
      <w:r w:rsidDel="00000000" w:rsidR="00000000" w:rsidRPr="00000000">
        <w:rPr>
          <w:rtl w:val="0"/>
        </w:rPr>
        <w:t xml:space="preserve">A 6-month-old boy named Aryan was brought to the pediatric clinic with severe cradle cap. The condition involved thick, yellowish scales covering most of his scalp, extending to his forehead and eyebrows. His mother reported that the condition had not improved despite using over-the-counter treatments and gentle shampoos. Aryan also had patches of red, scaly skin behind his ears and in the diaper area.</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we502hr37nz4" w:id="4"/>
      <w:bookmarkEnd w:id="4"/>
      <w:r w:rsidDel="00000000" w:rsidR="00000000" w:rsidRPr="00000000">
        <w:rPr>
          <w:b w:val="1"/>
          <w:color w:val="000000"/>
          <w:sz w:val="22"/>
          <w:szCs w:val="22"/>
          <w:rtl w:val="0"/>
        </w:rPr>
        <w:t xml:space="preserve">Investigations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Skin scraping from the affected areas for microscopic examination and fungal culture.</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Blood tests, including complete blood count (CBC) and inflammatory markers.</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Dermatology referral for further evaluation and possible skin biopsy.</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2qz0juh2vtgc" w:id="5"/>
      <w:bookmarkEnd w:id="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Typical Cradle Cap</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Ruled out due to the severity and persistence of the condition and its extension beyond the scalp.</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Atopic Dermatitis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Ruled out because the distribution and appearance of the rash were inconsistent with typical atopic dermatitis.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Contact Dermatitis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Ruled out as there was no improvement after eliminating potential irritants.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Psoriasis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Considered due to the presence of well-demarcated, red, scaly patches and a family history of psoriasis.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Seborrheic Dermatitis</w:t>
      </w:r>
    </w:p>
    <w:p w:rsidR="00000000" w:rsidDel="00000000" w:rsidP="00000000" w:rsidRDefault="00000000" w:rsidRPr="00000000" w14:paraId="00000017">
      <w:pPr>
        <w:numPr>
          <w:ilvl w:val="1"/>
          <w:numId w:val="3"/>
        </w:numPr>
        <w:spacing w:after="240" w:before="0" w:beforeAutospacing="0" w:lineRule="auto"/>
        <w:ind w:left="1440" w:hanging="360"/>
      </w:pPr>
      <w:r w:rsidDel="00000000" w:rsidR="00000000" w:rsidRPr="00000000">
        <w:rPr>
          <w:rtl w:val="0"/>
        </w:rPr>
        <w:t xml:space="preserve">Considered due to the greasy scales and involvement of seborrheic areas like the scalp, face, and diaper area.</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ck9j2dggkgj6" w:id="6"/>
      <w:bookmarkEnd w:id="6"/>
      <w:r w:rsidDel="00000000" w:rsidR="00000000" w:rsidRPr="00000000">
        <w:rPr>
          <w:b w:val="1"/>
          <w:color w:val="000000"/>
          <w:sz w:val="22"/>
          <w:szCs w:val="22"/>
          <w:rtl w:val="0"/>
        </w:rPr>
        <w:t xml:space="preserve">Final Diagnosis</w:t>
      </w:r>
    </w:p>
    <w:p w:rsidR="00000000" w:rsidDel="00000000" w:rsidP="00000000" w:rsidRDefault="00000000" w:rsidRPr="00000000" w14:paraId="00000019">
      <w:pPr>
        <w:spacing w:after="240" w:before="240" w:lineRule="auto"/>
        <w:rPr/>
      </w:pPr>
      <w:r w:rsidDel="00000000" w:rsidR="00000000" w:rsidRPr="00000000">
        <w:rPr>
          <w:rtl w:val="0"/>
        </w:rPr>
        <w:t xml:space="preserve">Seborrheic dermatitis confirmed by clinical presentation and exclusion of other conditions. Psoriasis was considered but not confirmed due to lack of classic features and negative biopsy.</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a6n0vgqowcuh" w:id="7"/>
      <w:bookmarkEnd w:id="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Topical Treatments</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Prescribed antifungal shampoo (ketoconazole) to be used twice a week.</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Applied mild topical corticosteroids (hydrocortisone 1%) to inflamed areas to reduce redness and irritation.</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Emollients</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Recommended the use of emollients to soften and remove scales gently.</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Hygiene Practices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Advised regular shampooing with a gentle, non-medicated shampoo.</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Monitoring and Follow-Up</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Scheduled follow-up appointments to monitor the response to treatment and adjust as needed.</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Educated parents on the chronic nature of seborrheic dermatitis and the importance of ongoing management.</w:t>
      </w:r>
    </w:p>
    <w:p w:rsidR="00000000" w:rsidDel="00000000" w:rsidP="00000000" w:rsidRDefault="00000000" w:rsidRPr="00000000" w14:paraId="00000026">
      <w:pPr>
        <w:numPr>
          <w:ilvl w:val="1"/>
          <w:numId w:val="4"/>
        </w:numPr>
        <w:spacing w:after="240" w:before="0" w:beforeAutospacing="0" w:lineRule="auto"/>
        <w:ind w:left="1440" w:hanging="360"/>
      </w:pPr>
      <w:r w:rsidDel="00000000" w:rsidR="00000000" w:rsidRPr="00000000">
        <w:rPr>
          <w:rtl w:val="0"/>
        </w:rPr>
        <w:t xml:space="preserve">Provided information on signs of worsening or secondary infection.</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x0ufa5qat011" w:id="8"/>
      <w:bookmarkEnd w:id="8"/>
      <w:r w:rsidDel="00000000" w:rsidR="00000000" w:rsidRPr="00000000">
        <w:rPr>
          <w:b w:val="1"/>
          <w:color w:val="000000"/>
          <w:sz w:val="22"/>
          <w:szCs w:val="22"/>
          <w:rtl w:val="0"/>
        </w:rPr>
        <w:t xml:space="preserve">Follow-Up</w:t>
      </w:r>
    </w:p>
    <w:p w:rsidR="00000000" w:rsidDel="00000000" w:rsidP="00000000" w:rsidRDefault="00000000" w:rsidRPr="00000000" w14:paraId="00000028">
      <w:pPr>
        <w:spacing w:after="240" w:before="240" w:lineRule="auto"/>
        <w:rPr/>
      </w:pPr>
      <w:r w:rsidDel="00000000" w:rsidR="00000000" w:rsidRPr="00000000">
        <w:rPr>
          <w:rtl w:val="0"/>
        </w:rPr>
        <w:t xml:space="preserve">At the 4-week follow-up, Aryan's condition had improved significantly. The scales on his scalp had reduced, and the redness and irritation behind his ears and in the diaper area had diminished. Continued use of the prescribed treatments and regular follow-up ensured ongoing improvement and management of the condition.</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qj7pf02su2aa" w:id="9"/>
      <w:bookmarkEnd w:id="9"/>
      <w:r w:rsidDel="00000000" w:rsidR="00000000" w:rsidRPr="00000000">
        <w:rPr>
          <w:b w:val="1"/>
          <w:color w:val="000000"/>
          <w:sz w:val="22"/>
          <w:szCs w:val="22"/>
          <w:rtl w:val="0"/>
        </w:rPr>
        <w:t xml:space="preserve">Conclusion</w:t>
      </w:r>
    </w:p>
    <w:p w:rsidR="00000000" w:rsidDel="00000000" w:rsidP="00000000" w:rsidRDefault="00000000" w:rsidRPr="00000000" w14:paraId="0000002A">
      <w:pPr>
        <w:spacing w:after="240" w:before="240" w:lineRule="auto"/>
        <w:rPr/>
      </w:pPr>
      <w:r w:rsidDel="00000000" w:rsidR="00000000" w:rsidRPr="00000000">
        <w:rPr>
          <w:rtl w:val="0"/>
        </w:rPr>
        <w:t xml:space="preserve">This case highlights the importance of distinguishing severe cradle cap from more serious underlying conditions such as seborrheic dermatitis or psoriasis. Proper diagnosis and targeted treatment can lead to significant improvement and prevent complications. Healthcare providers should consider alternative diagnoses in persistent or severe cases to ensure comprehensive care and effective management.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i07621nqhce" w:id="10"/>
      <w:bookmarkEnd w:id="10"/>
      <w:r w:rsidDel="00000000" w:rsidR="00000000" w:rsidRPr="00000000">
        <w:rPr>
          <w:b w:val="1"/>
          <w:color w:val="000000"/>
          <w:sz w:val="26"/>
          <w:szCs w:val="26"/>
          <w:rtl w:val="0"/>
        </w:rPr>
        <w:t xml:space="preserve">Case Study: A Red Flag on the Head: Cradle Cap or Psoriasis?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3nfvi1yndww3" w:id="11"/>
      <w:bookmarkEnd w:id="11"/>
      <w:r w:rsidDel="00000000" w:rsidR="00000000" w:rsidRPr="00000000">
        <w:rPr>
          <w:b w:val="1"/>
          <w:color w:val="000000"/>
          <w:sz w:val="22"/>
          <w:szCs w:val="22"/>
          <w:rtl w:val="0"/>
        </w:rPr>
        <w:t xml:space="preserve">Introduction</w:t>
      </w:r>
    </w:p>
    <w:p w:rsidR="00000000" w:rsidDel="00000000" w:rsidP="00000000" w:rsidRDefault="00000000" w:rsidRPr="00000000" w14:paraId="00000033">
      <w:pPr>
        <w:spacing w:after="240" w:before="240" w:lineRule="auto"/>
        <w:rPr/>
      </w:pPr>
      <w:r w:rsidDel="00000000" w:rsidR="00000000" w:rsidRPr="00000000">
        <w:rPr>
          <w:rtl w:val="0"/>
        </w:rPr>
        <w:t xml:space="preserve">Cradle cap is a common condition in infants, often treated with simple home remedies. However, when cradle cap-like symptoms are severe and persistent, it may signal a more serious condition such as infantile psoriasis. This case study focuses on recognizing when cradle cap-like symptoms may indicate infantile psoriasis and necessitate a different treatment approach.</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3xffeesbfpjk" w:id="12"/>
      <w:bookmarkEnd w:id="12"/>
      <w:r w:rsidDel="00000000" w:rsidR="00000000" w:rsidRPr="00000000">
        <w:rPr>
          <w:b w:val="1"/>
          <w:color w:val="000000"/>
          <w:sz w:val="22"/>
          <w:szCs w:val="22"/>
          <w:rtl w:val="0"/>
        </w:rPr>
        <w:t xml:space="preserve">Background</w:t>
      </w:r>
    </w:p>
    <w:p w:rsidR="00000000" w:rsidDel="00000000" w:rsidP="00000000" w:rsidRDefault="00000000" w:rsidRPr="00000000" w14:paraId="00000035">
      <w:pPr>
        <w:spacing w:after="240" w:before="240" w:lineRule="auto"/>
        <w:rPr/>
      </w:pPr>
      <w:r w:rsidDel="00000000" w:rsidR="00000000" w:rsidRPr="00000000">
        <w:rPr>
          <w:rtl w:val="0"/>
        </w:rPr>
        <w:t xml:space="preserve">Cradle cap, or infantile seborrheic dermatitis, typically presents as yellowish, greasy scales on the scalp. While it is generally harmless and self-limiting, severe and persistent cases can sometimes be confused with other conditions such as psoriasis. Infantile psoriasis, characterized by well-defined, red, scaly plaques, requires a different treatment strategy and long-term management.</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85tehvbgn4hv" w:id="13"/>
      <w:bookmarkEnd w:id="13"/>
      <w:r w:rsidDel="00000000" w:rsidR="00000000" w:rsidRPr="00000000">
        <w:rPr>
          <w:b w:val="1"/>
          <w:color w:val="000000"/>
          <w:sz w:val="22"/>
          <w:szCs w:val="22"/>
          <w:rtl w:val="0"/>
        </w:rPr>
        <w:t xml:space="preserve">Presenting Symptoms</w:t>
      </w:r>
    </w:p>
    <w:p w:rsidR="00000000" w:rsidDel="00000000" w:rsidP="00000000" w:rsidRDefault="00000000" w:rsidRPr="00000000" w14:paraId="00000037">
      <w:pPr>
        <w:spacing w:after="240" w:before="240" w:lineRule="auto"/>
        <w:rPr/>
      </w:pPr>
      <w:r w:rsidDel="00000000" w:rsidR="00000000" w:rsidRPr="00000000">
        <w:rPr>
          <w:rtl w:val="0"/>
        </w:rPr>
        <w:t xml:space="preserve">A 6-month-old girl named Meera was brought to the clinic with severe cradle cap. Her scalp was covered with thick, yellowish scales that extended to her forehead and behind her ears. Despite using over-the-counter treatments and frequent shampooing, the condition persisted and worsened. Additionally, Meera had well-defined, red, scaly patches on her elbows and knees, which caused significant discomfort.</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ngcm88mb8tby" w:id="14"/>
      <w:bookmarkEnd w:id="14"/>
      <w:r w:rsidDel="00000000" w:rsidR="00000000" w:rsidRPr="00000000">
        <w:rPr>
          <w:b w:val="1"/>
          <w:color w:val="000000"/>
          <w:sz w:val="22"/>
          <w:szCs w:val="22"/>
          <w:rtl w:val="0"/>
        </w:rPr>
        <w:t xml:space="preserve">Investigations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tl w:val="0"/>
        </w:rPr>
        <w:t xml:space="preserve">Skin scraping from the affected areas for microscopic examination and fungal culture.</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Blood tests, including complete blood count (CBC) and inflammatory markers.</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rtl w:val="0"/>
        </w:rPr>
        <w:t xml:space="preserve">Dermatology referral for further evaluation and possible skin biopsy to differentiate between seborrheic dermatitis and psoriasis.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7mzyimosarad" w:id="15"/>
      <w:bookmarkEnd w:id="1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3E">
      <w:pPr>
        <w:numPr>
          <w:ilvl w:val="0"/>
          <w:numId w:val="9"/>
        </w:numPr>
        <w:spacing w:after="0" w:afterAutospacing="0" w:before="240" w:lineRule="auto"/>
        <w:ind w:left="720" w:hanging="360"/>
      </w:pPr>
      <w:r w:rsidDel="00000000" w:rsidR="00000000" w:rsidRPr="00000000">
        <w:rPr>
          <w:b w:val="1"/>
          <w:rtl w:val="0"/>
        </w:rPr>
        <w:t xml:space="preserve">Typical Cradle Cap</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tl w:val="0"/>
        </w:rPr>
        <w:t xml:space="preserve">Ruled out due to severity, persistence, and spread beyond the scalp.</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b w:val="1"/>
          <w:rtl w:val="0"/>
        </w:rPr>
        <w:t xml:space="preserve">Seborrheic Dermatitis</w:t>
      </w:r>
    </w:p>
    <w:p w:rsidR="00000000" w:rsidDel="00000000" w:rsidP="00000000" w:rsidRDefault="00000000" w:rsidRPr="00000000" w14:paraId="00000041">
      <w:pPr>
        <w:numPr>
          <w:ilvl w:val="1"/>
          <w:numId w:val="9"/>
        </w:numPr>
        <w:spacing w:after="0" w:afterAutospacing="0" w:before="0" w:beforeAutospacing="0" w:lineRule="auto"/>
        <w:ind w:left="1440" w:hanging="360"/>
      </w:pPr>
      <w:r w:rsidDel="00000000" w:rsidR="00000000" w:rsidRPr="00000000">
        <w:rPr>
          <w:rtl w:val="0"/>
        </w:rPr>
        <w:t xml:space="preserve">Considered but not confirmed due to the presence of well-defined plaques on non-seborrheic areas.</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Atopic Dermatitis</w:t>
      </w:r>
    </w:p>
    <w:p w:rsidR="00000000" w:rsidDel="00000000" w:rsidP="00000000" w:rsidRDefault="00000000" w:rsidRPr="00000000" w14:paraId="00000043">
      <w:pPr>
        <w:numPr>
          <w:ilvl w:val="1"/>
          <w:numId w:val="9"/>
        </w:numPr>
        <w:spacing w:after="0" w:afterAutospacing="0" w:before="0" w:beforeAutospacing="0" w:lineRule="auto"/>
        <w:ind w:left="1440" w:hanging="360"/>
      </w:pPr>
      <w:r w:rsidDel="00000000" w:rsidR="00000000" w:rsidRPr="00000000">
        <w:rPr>
          <w:rtl w:val="0"/>
        </w:rPr>
        <w:t xml:space="preserve">Ruled out due to the characteristic appearance and distribution of the rash.</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b w:val="1"/>
          <w:rtl w:val="0"/>
        </w:rPr>
        <w:t xml:space="preserve">Contact Dermatitis</w:t>
      </w:r>
    </w:p>
    <w:p w:rsidR="00000000" w:rsidDel="00000000" w:rsidP="00000000" w:rsidRDefault="00000000" w:rsidRPr="00000000" w14:paraId="00000045">
      <w:pPr>
        <w:numPr>
          <w:ilvl w:val="1"/>
          <w:numId w:val="9"/>
        </w:numPr>
        <w:spacing w:after="0" w:afterAutospacing="0" w:before="0" w:beforeAutospacing="0" w:lineRule="auto"/>
        <w:ind w:left="1440" w:hanging="360"/>
      </w:pPr>
      <w:r w:rsidDel="00000000" w:rsidR="00000000" w:rsidRPr="00000000">
        <w:rPr>
          <w:rtl w:val="0"/>
        </w:rPr>
        <w:t xml:space="preserve">Ruled out as there was no improvement after eliminating potential irritants.</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b w:val="1"/>
          <w:rtl w:val="0"/>
        </w:rPr>
        <w:t xml:space="preserve">Psoriasis</w:t>
      </w:r>
    </w:p>
    <w:p w:rsidR="00000000" w:rsidDel="00000000" w:rsidP="00000000" w:rsidRDefault="00000000" w:rsidRPr="00000000" w14:paraId="00000047">
      <w:pPr>
        <w:numPr>
          <w:ilvl w:val="1"/>
          <w:numId w:val="9"/>
        </w:numPr>
        <w:spacing w:after="240" w:before="0" w:beforeAutospacing="0" w:lineRule="auto"/>
        <w:ind w:left="1440" w:hanging="360"/>
      </w:pPr>
      <w:r w:rsidDel="00000000" w:rsidR="00000000" w:rsidRPr="00000000">
        <w:rPr>
          <w:rtl w:val="0"/>
        </w:rPr>
        <w:t xml:space="preserve">Considered due to the presence of well-defined, red, scaly plaques and positive family history of psoriasis.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oynfrpdb0ziu" w:id="16"/>
      <w:bookmarkEnd w:id="16"/>
      <w:r w:rsidDel="00000000" w:rsidR="00000000" w:rsidRPr="00000000">
        <w:rPr>
          <w:b w:val="1"/>
          <w:color w:val="000000"/>
          <w:sz w:val="22"/>
          <w:szCs w:val="22"/>
          <w:rtl w:val="0"/>
        </w:rPr>
        <w:t xml:space="preserve">Final Diagnosis</w:t>
      </w:r>
    </w:p>
    <w:p w:rsidR="00000000" w:rsidDel="00000000" w:rsidP="00000000" w:rsidRDefault="00000000" w:rsidRPr="00000000" w14:paraId="00000049">
      <w:pPr>
        <w:spacing w:after="240" w:before="240" w:lineRule="auto"/>
        <w:rPr/>
      </w:pPr>
      <w:r w:rsidDel="00000000" w:rsidR="00000000" w:rsidRPr="00000000">
        <w:rPr>
          <w:rtl w:val="0"/>
        </w:rPr>
        <w:t xml:space="preserve">Infantile psoriasis confirmed by clinical presentation and skin biopsy.</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yw5zgzkqdrrx" w:id="17"/>
      <w:bookmarkEnd w:id="1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b w:val="1"/>
          <w:rtl w:val="0"/>
        </w:rPr>
        <w:t xml:space="preserve">Topical Treatments</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Prescribed topical corticosteroids (betamethasone) to reduce inflammation and scaling.</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Applied topical vitamin D analogs (calcipotriene) to affected areas.</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Moisturizers and Emollients</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Recommended regular use of moisturizers to maintain skin hydration.</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Bathing and Skincare Routine</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Advised gentle bathing with mild, non-medicated shampoos and soaps.</w:t>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Suggested adding bath oils to help soothe and moisturize the skin.</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Monitoring and Follow-Up</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Scheduled follow-up appointments to monitor treatment response and adjust therapy as needed.</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Educated parents about the chronic nature of psoriasis and the importance of adherence to the treatment plan.</w:t>
      </w:r>
    </w:p>
    <w:p w:rsidR="00000000" w:rsidDel="00000000" w:rsidP="00000000" w:rsidRDefault="00000000" w:rsidRPr="00000000" w14:paraId="00000057">
      <w:pPr>
        <w:numPr>
          <w:ilvl w:val="1"/>
          <w:numId w:val="7"/>
        </w:numPr>
        <w:spacing w:after="240" w:before="0" w:beforeAutospacing="0" w:lineRule="auto"/>
        <w:ind w:left="1440" w:hanging="360"/>
      </w:pPr>
      <w:r w:rsidDel="00000000" w:rsidR="00000000" w:rsidRPr="00000000">
        <w:rPr>
          <w:rtl w:val="0"/>
        </w:rPr>
        <w:t xml:space="preserve">Provided information on recognizing flare-ups and avoiding known triggers.</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luctch5opmst" w:id="18"/>
      <w:bookmarkEnd w:id="18"/>
      <w:r w:rsidDel="00000000" w:rsidR="00000000" w:rsidRPr="00000000">
        <w:rPr>
          <w:b w:val="1"/>
          <w:color w:val="000000"/>
          <w:sz w:val="22"/>
          <w:szCs w:val="22"/>
          <w:rtl w:val="0"/>
        </w:rPr>
        <w:t xml:space="preserve">Follow-Up</w:t>
      </w:r>
    </w:p>
    <w:p w:rsidR="00000000" w:rsidDel="00000000" w:rsidP="00000000" w:rsidRDefault="00000000" w:rsidRPr="00000000" w14:paraId="00000059">
      <w:pPr>
        <w:spacing w:after="240" w:before="240" w:lineRule="auto"/>
        <w:rPr/>
      </w:pPr>
      <w:r w:rsidDel="00000000" w:rsidR="00000000" w:rsidRPr="00000000">
        <w:rPr>
          <w:rtl w:val="0"/>
        </w:rPr>
        <w:t xml:space="preserve">At the 4-week follow-up, Meera's condition had significantly improved. The scales on her scalp had reduced, and the redness and scaling on her elbows and knees had diminished. Her discomfort was alleviated, and her parents were satisfied with the progress. Continued use of the prescribed treatments and regular follow-up ensured effective long-term management.</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5qgyqdurnkch" w:id="19"/>
      <w:bookmarkEnd w:id="19"/>
      <w:r w:rsidDel="00000000" w:rsidR="00000000" w:rsidRPr="00000000">
        <w:rPr>
          <w:b w:val="1"/>
          <w:color w:val="000000"/>
          <w:sz w:val="22"/>
          <w:szCs w:val="22"/>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This case highlights the importance of considering alternative diagnoses such as infantile psoriasis when faced with severe and persistent cradle cap-like symptoms. Accurate diagnosis and appropriate treatment are crucial for managing the condition effectively and improving the infant's quality of life. Healthcare providers should be vigilant in differentiating between similar presentations to ensure comprehensive care.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191flbqwuvz2" w:id="20"/>
      <w:bookmarkEnd w:id="20"/>
      <w:r w:rsidDel="00000000" w:rsidR="00000000" w:rsidRPr="00000000">
        <w:rPr>
          <w:b w:val="1"/>
          <w:color w:val="000000"/>
          <w:sz w:val="26"/>
          <w:szCs w:val="26"/>
          <w:rtl w:val="0"/>
        </w:rPr>
        <w:t xml:space="preserve">Case Study: Scaling Up: When Cradle Cap Signals Seborrheic Dermatitis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hqm2v2wk6zir" w:id="21"/>
      <w:bookmarkEnd w:id="21"/>
      <w:r w:rsidDel="00000000" w:rsidR="00000000" w:rsidRPr="00000000">
        <w:rPr>
          <w:b w:val="1"/>
          <w:color w:val="000000"/>
          <w:sz w:val="22"/>
          <w:szCs w:val="22"/>
          <w:rtl w:val="0"/>
        </w:rPr>
        <w:t xml:space="preserve">Introduction</w:t>
      </w:r>
    </w:p>
    <w:p w:rsidR="00000000" w:rsidDel="00000000" w:rsidP="00000000" w:rsidRDefault="00000000" w:rsidRPr="00000000" w14:paraId="00000069">
      <w:pPr>
        <w:spacing w:after="240" w:before="240" w:lineRule="auto"/>
        <w:rPr/>
      </w:pPr>
      <w:r w:rsidDel="00000000" w:rsidR="00000000" w:rsidRPr="00000000">
        <w:rPr>
          <w:rtl w:val="0"/>
        </w:rPr>
        <w:t xml:space="preserve">Cradle cap is a familiar and usually benign condition in infants. However, when it presents severely, it can be a sign of seborrheic dermatitis, which requires a different management approach. This case study focuses on identifying and managing seborrheic dermatitis in infants, emphasizing the differences from simple cradle cap.</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j376fp4p9ttw" w:id="22"/>
      <w:bookmarkEnd w:id="22"/>
      <w:r w:rsidDel="00000000" w:rsidR="00000000" w:rsidRPr="00000000">
        <w:rPr>
          <w:b w:val="1"/>
          <w:color w:val="000000"/>
          <w:sz w:val="22"/>
          <w:szCs w:val="22"/>
          <w:rtl w:val="0"/>
        </w:rPr>
        <w:t xml:space="preserve">Background</w:t>
      </w:r>
    </w:p>
    <w:p w:rsidR="00000000" w:rsidDel="00000000" w:rsidP="00000000" w:rsidRDefault="00000000" w:rsidRPr="00000000" w14:paraId="0000006B">
      <w:pPr>
        <w:spacing w:after="240" w:before="240" w:lineRule="auto"/>
        <w:rPr/>
      </w:pPr>
      <w:r w:rsidDel="00000000" w:rsidR="00000000" w:rsidRPr="00000000">
        <w:rPr>
          <w:rtl w:val="0"/>
        </w:rPr>
        <w:t xml:space="preserve">Cradle cap, also known as infantile seborrheic dermatitis, typically manifests as yellow, greasy scales on the scalp. While it often resolves with basic care, severe or widespread cases may indicate underlying seborrheic dermatitis. Differentiating between these conditions is essential for effective treatment and ensuring the infant’s well-being.</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e8bu6fdws2ec" w:id="23"/>
      <w:bookmarkEnd w:id="23"/>
      <w:r w:rsidDel="00000000" w:rsidR="00000000" w:rsidRPr="00000000">
        <w:rPr>
          <w:b w:val="1"/>
          <w:color w:val="000000"/>
          <w:sz w:val="22"/>
          <w:szCs w:val="22"/>
          <w:rtl w:val="0"/>
        </w:rPr>
        <w:t xml:space="preserve">Presenting Symptoms</w:t>
      </w:r>
    </w:p>
    <w:p w:rsidR="00000000" w:rsidDel="00000000" w:rsidP="00000000" w:rsidRDefault="00000000" w:rsidRPr="00000000" w14:paraId="0000006D">
      <w:pPr>
        <w:spacing w:after="240" w:before="240" w:lineRule="auto"/>
        <w:rPr/>
      </w:pPr>
      <w:r w:rsidDel="00000000" w:rsidR="00000000" w:rsidRPr="00000000">
        <w:rPr>
          <w:rtl w:val="0"/>
        </w:rPr>
        <w:t xml:space="preserve">A 7-month-old boy named Aarav presented with severe cradle cap. The condition involved thick, yellowish scales covering most of his scalp, extending to his forehead and eyebrows. His mother reported that the condition had not improved despite using over-the-counter treatments and gentle shampoos. Additionally, Aarav had patches of red, scaly skin behind his ears, on his neck, and in the diaper area.</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omj5rux685vq" w:id="24"/>
      <w:bookmarkEnd w:id="24"/>
      <w:r w:rsidDel="00000000" w:rsidR="00000000" w:rsidRPr="00000000">
        <w:rPr>
          <w:b w:val="1"/>
          <w:color w:val="000000"/>
          <w:sz w:val="22"/>
          <w:szCs w:val="22"/>
          <w:rtl w:val="0"/>
        </w:rPr>
        <w:t xml:space="preserve">Investigations</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rtl w:val="0"/>
        </w:rPr>
        <w:t xml:space="preserve">Detailed medical history and thorough physical examination.</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tl w:val="0"/>
        </w:rPr>
        <w:t xml:space="preserve">Skin scraping from the affected areas for microscopic examination and fungal culture.</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tl w:val="0"/>
        </w:rPr>
        <w:t xml:space="preserve">Blood tests, including complete blood count (CBC) and inflammatory markers.</w:t>
      </w:r>
    </w:p>
    <w:p w:rsidR="00000000" w:rsidDel="00000000" w:rsidP="00000000" w:rsidRDefault="00000000" w:rsidRPr="00000000" w14:paraId="00000072">
      <w:pPr>
        <w:numPr>
          <w:ilvl w:val="0"/>
          <w:numId w:val="2"/>
        </w:numPr>
        <w:spacing w:after="240" w:before="0" w:beforeAutospacing="0" w:lineRule="auto"/>
        <w:ind w:left="720" w:hanging="360"/>
      </w:pPr>
      <w:r w:rsidDel="00000000" w:rsidR="00000000" w:rsidRPr="00000000">
        <w:rPr>
          <w:rtl w:val="0"/>
        </w:rPr>
        <w:t xml:space="preserve">Dermatology referral for further evaluation and possible skin biopsy.</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l1glncx0hwl3" w:id="25"/>
      <w:bookmarkEnd w:id="25"/>
      <w:r w:rsidDel="00000000" w:rsidR="00000000" w:rsidRPr="00000000">
        <w:rPr>
          <w:b w:val="1"/>
          <w:color w:val="000000"/>
          <w:sz w:val="22"/>
          <w:szCs w:val="22"/>
          <w:rtl w:val="0"/>
        </w:rPr>
        <w:t xml:space="preserve">Differential Diagnosis</w:t>
      </w:r>
    </w:p>
    <w:p w:rsidR="00000000" w:rsidDel="00000000" w:rsidP="00000000" w:rsidRDefault="00000000" w:rsidRPr="00000000" w14:paraId="00000074">
      <w:pPr>
        <w:numPr>
          <w:ilvl w:val="0"/>
          <w:numId w:val="1"/>
        </w:numPr>
        <w:spacing w:after="0" w:afterAutospacing="0" w:before="240" w:lineRule="auto"/>
        <w:ind w:left="720" w:hanging="360"/>
      </w:pPr>
      <w:r w:rsidDel="00000000" w:rsidR="00000000" w:rsidRPr="00000000">
        <w:rPr>
          <w:b w:val="1"/>
          <w:rtl w:val="0"/>
        </w:rPr>
        <w:t xml:space="preserve">Typical Cradle Cap</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Ruled out due to severity, persistence, and spread beyond the scalp.</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b w:val="1"/>
          <w:rtl w:val="0"/>
        </w:rPr>
        <w:t xml:space="preserve">Atopic Dermatitis</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tl w:val="0"/>
        </w:rPr>
        <w:t xml:space="preserve">Ruled out because the distribution and appearance of the rash were inconsistent with typical atopic dermatitis.</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b w:val="1"/>
          <w:rtl w:val="0"/>
        </w:rPr>
        <w:t xml:space="preserve">Contact Dermatitis</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Ruled out as there was no improvement after eliminating potential irritants.</w:t>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b w:val="1"/>
          <w:rtl w:val="0"/>
        </w:rPr>
        <w:t xml:space="preserve">Psoriasis</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Considered but ruled out due to lack of classic features and negative biopsy results.</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Seborrheic Dermatitis</w:t>
      </w:r>
    </w:p>
    <w:p w:rsidR="00000000" w:rsidDel="00000000" w:rsidP="00000000" w:rsidRDefault="00000000" w:rsidRPr="00000000" w14:paraId="0000007D">
      <w:pPr>
        <w:numPr>
          <w:ilvl w:val="1"/>
          <w:numId w:val="1"/>
        </w:numPr>
        <w:spacing w:after="240" w:before="0" w:beforeAutospacing="0" w:lineRule="auto"/>
        <w:ind w:left="1440" w:hanging="360"/>
      </w:pPr>
      <w:r w:rsidDel="00000000" w:rsidR="00000000" w:rsidRPr="00000000">
        <w:rPr>
          <w:rtl w:val="0"/>
        </w:rPr>
        <w:t xml:space="preserve">Confirmed due to the presence of greasy scales and involvement of seborrheic areas.</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fwbe62cfi0qn" w:id="26"/>
      <w:bookmarkEnd w:id="26"/>
      <w:r w:rsidDel="00000000" w:rsidR="00000000" w:rsidRPr="00000000">
        <w:rPr>
          <w:b w:val="1"/>
          <w:color w:val="000000"/>
          <w:sz w:val="22"/>
          <w:szCs w:val="22"/>
          <w:rtl w:val="0"/>
        </w:rPr>
        <w:t xml:space="preserve">Final Diagnosis</w:t>
      </w:r>
    </w:p>
    <w:p w:rsidR="00000000" w:rsidDel="00000000" w:rsidP="00000000" w:rsidRDefault="00000000" w:rsidRPr="00000000" w14:paraId="0000007F">
      <w:pPr>
        <w:spacing w:after="240" w:before="240" w:lineRule="auto"/>
        <w:rPr/>
      </w:pPr>
      <w:r w:rsidDel="00000000" w:rsidR="00000000" w:rsidRPr="00000000">
        <w:rPr>
          <w:rtl w:val="0"/>
        </w:rPr>
        <w:t xml:space="preserve">Seborrheic dermatitis confirmed by clinical presentation and exclusion of other conditions.</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r7iu92eoyl8t" w:id="27"/>
      <w:bookmarkEnd w:id="27"/>
      <w:r w:rsidDel="00000000" w:rsidR="00000000" w:rsidRPr="00000000">
        <w:rPr>
          <w:b w:val="1"/>
          <w:color w:val="000000"/>
          <w:sz w:val="22"/>
          <w:szCs w:val="22"/>
          <w:rtl w:val="0"/>
        </w:rPr>
        <w:t xml:space="preserve">Treatment and Management</w:t>
      </w:r>
    </w:p>
    <w:p w:rsidR="00000000" w:rsidDel="00000000" w:rsidP="00000000" w:rsidRDefault="00000000" w:rsidRPr="00000000" w14:paraId="00000081">
      <w:pPr>
        <w:numPr>
          <w:ilvl w:val="0"/>
          <w:numId w:val="8"/>
        </w:numPr>
        <w:spacing w:after="0" w:afterAutospacing="0" w:before="240" w:lineRule="auto"/>
        <w:ind w:left="720" w:hanging="360"/>
      </w:pPr>
      <w:r w:rsidDel="00000000" w:rsidR="00000000" w:rsidRPr="00000000">
        <w:rPr>
          <w:b w:val="1"/>
          <w:rtl w:val="0"/>
        </w:rPr>
        <w:t xml:space="preserve">Topical Treatments</w:t>
      </w:r>
    </w:p>
    <w:p w:rsidR="00000000" w:rsidDel="00000000" w:rsidP="00000000" w:rsidRDefault="00000000" w:rsidRPr="00000000" w14:paraId="00000082">
      <w:pPr>
        <w:numPr>
          <w:ilvl w:val="1"/>
          <w:numId w:val="8"/>
        </w:numPr>
        <w:spacing w:after="0" w:afterAutospacing="0" w:before="0" w:beforeAutospacing="0" w:lineRule="auto"/>
        <w:ind w:left="1440" w:hanging="360"/>
      </w:pPr>
      <w:r w:rsidDel="00000000" w:rsidR="00000000" w:rsidRPr="00000000">
        <w:rPr>
          <w:rtl w:val="0"/>
        </w:rPr>
        <w:t xml:space="preserve">Prescribed antifungal shampoo (ketoconazole) to be used twice a week.</w:t>
      </w:r>
    </w:p>
    <w:p w:rsidR="00000000" w:rsidDel="00000000" w:rsidP="00000000" w:rsidRDefault="00000000" w:rsidRPr="00000000" w14:paraId="00000083">
      <w:pPr>
        <w:numPr>
          <w:ilvl w:val="1"/>
          <w:numId w:val="8"/>
        </w:numPr>
        <w:spacing w:after="0" w:afterAutospacing="0" w:before="0" w:beforeAutospacing="0" w:lineRule="auto"/>
        <w:ind w:left="1440" w:hanging="360"/>
      </w:pPr>
      <w:r w:rsidDel="00000000" w:rsidR="00000000" w:rsidRPr="00000000">
        <w:rPr>
          <w:rtl w:val="0"/>
        </w:rPr>
        <w:t xml:space="preserve">Applied mild topical corticosteroids (hydrocortisone 1%) to inflamed areas to reduce redness and irritation.</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Emollients</w:t>
      </w:r>
    </w:p>
    <w:p w:rsidR="00000000" w:rsidDel="00000000" w:rsidP="00000000" w:rsidRDefault="00000000" w:rsidRPr="00000000" w14:paraId="00000085">
      <w:pPr>
        <w:numPr>
          <w:ilvl w:val="1"/>
          <w:numId w:val="8"/>
        </w:numPr>
        <w:spacing w:after="0" w:afterAutospacing="0" w:before="0" w:beforeAutospacing="0" w:lineRule="auto"/>
        <w:ind w:left="1440" w:hanging="360"/>
      </w:pPr>
      <w:r w:rsidDel="00000000" w:rsidR="00000000" w:rsidRPr="00000000">
        <w:rPr>
          <w:rtl w:val="0"/>
        </w:rPr>
        <w:t xml:space="preserve">Recommended the use of emollients to soften and gently remove scales.</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b w:val="1"/>
          <w:rtl w:val="0"/>
        </w:rPr>
        <w:t xml:space="preserve">Hygiene Practices</w:t>
      </w:r>
    </w:p>
    <w:p w:rsidR="00000000" w:rsidDel="00000000" w:rsidP="00000000" w:rsidRDefault="00000000" w:rsidRPr="00000000" w14:paraId="00000087">
      <w:pPr>
        <w:numPr>
          <w:ilvl w:val="1"/>
          <w:numId w:val="8"/>
        </w:numPr>
        <w:spacing w:after="0" w:afterAutospacing="0" w:before="0" w:beforeAutospacing="0" w:lineRule="auto"/>
        <w:ind w:left="1440" w:hanging="360"/>
      </w:pPr>
      <w:r w:rsidDel="00000000" w:rsidR="00000000" w:rsidRPr="00000000">
        <w:rPr>
          <w:rtl w:val="0"/>
        </w:rPr>
        <w:t xml:space="preserve">Advised regular shampooing with a gentle, non-medicated shampoo.</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b w:val="1"/>
          <w:rtl w:val="0"/>
        </w:rPr>
        <w:t xml:space="preserve">Monitoring and Follow-Up</w:t>
      </w:r>
    </w:p>
    <w:p w:rsidR="00000000" w:rsidDel="00000000" w:rsidP="00000000" w:rsidRDefault="00000000" w:rsidRPr="00000000" w14:paraId="00000089">
      <w:pPr>
        <w:numPr>
          <w:ilvl w:val="1"/>
          <w:numId w:val="8"/>
        </w:numPr>
        <w:spacing w:after="0" w:afterAutospacing="0" w:before="0" w:beforeAutospacing="0" w:lineRule="auto"/>
        <w:ind w:left="1440" w:hanging="360"/>
      </w:pPr>
      <w:r w:rsidDel="00000000" w:rsidR="00000000" w:rsidRPr="00000000">
        <w:rPr>
          <w:rtl w:val="0"/>
        </w:rPr>
        <w:t xml:space="preserve">Scheduled follow-up appointments to monitor the response to treatment and adjust as needed.</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Education</w:t>
      </w:r>
    </w:p>
    <w:p w:rsidR="00000000" w:rsidDel="00000000" w:rsidP="00000000" w:rsidRDefault="00000000" w:rsidRPr="00000000" w14:paraId="0000008B">
      <w:pPr>
        <w:numPr>
          <w:ilvl w:val="1"/>
          <w:numId w:val="8"/>
        </w:numPr>
        <w:spacing w:after="0" w:afterAutospacing="0" w:before="0" w:beforeAutospacing="0" w:lineRule="auto"/>
        <w:ind w:left="1440" w:hanging="360"/>
      </w:pPr>
      <w:r w:rsidDel="00000000" w:rsidR="00000000" w:rsidRPr="00000000">
        <w:rPr>
          <w:rtl w:val="0"/>
        </w:rPr>
        <w:t xml:space="preserve">Educated parents on the chronic nature of seborrheic dermatitis and the importance of ongoing management.</w:t>
      </w:r>
    </w:p>
    <w:p w:rsidR="00000000" w:rsidDel="00000000" w:rsidP="00000000" w:rsidRDefault="00000000" w:rsidRPr="00000000" w14:paraId="0000008C">
      <w:pPr>
        <w:numPr>
          <w:ilvl w:val="1"/>
          <w:numId w:val="8"/>
        </w:numPr>
        <w:spacing w:after="240" w:before="0" w:beforeAutospacing="0" w:lineRule="auto"/>
        <w:ind w:left="1440" w:hanging="360"/>
      </w:pPr>
      <w:r w:rsidDel="00000000" w:rsidR="00000000" w:rsidRPr="00000000">
        <w:rPr>
          <w:rtl w:val="0"/>
        </w:rPr>
        <w:t xml:space="preserve">Provided information on signs of worsening or secondary infection.</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7xaqsjq4h70t" w:id="28"/>
      <w:bookmarkEnd w:id="28"/>
      <w:r w:rsidDel="00000000" w:rsidR="00000000" w:rsidRPr="00000000">
        <w:rPr>
          <w:b w:val="1"/>
          <w:color w:val="000000"/>
          <w:sz w:val="22"/>
          <w:szCs w:val="22"/>
          <w:rtl w:val="0"/>
        </w:rPr>
        <w:t xml:space="preserve">Follow-Up</w:t>
      </w:r>
    </w:p>
    <w:p w:rsidR="00000000" w:rsidDel="00000000" w:rsidP="00000000" w:rsidRDefault="00000000" w:rsidRPr="00000000" w14:paraId="0000008E">
      <w:pPr>
        <w:spacing w:after="240" w:before="240" w:lineRule="auto"/>
        <w:rPr/>
      </w:pPr>
      <w:r w:rsidDel="00000000" w:rsidR="00000000" w:rsidRPr="00000000">
        <w:rPr>
          <w:rtl w:val="0"/>
        </w:rPr>
        <w:t xml:space="preserve">At the 4-week follow-up, Aarav's condition had improved significantly. The scales on his scalp had reduced, and the redness and irritation behind his ears, on his neck, and in the diaper area had diminished. Continued use of the prescribed treatments and regular follow-up ensured ongoing improvement and management of the condition.</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8ajw8nk7vjq" w:id="29"/>
      <w:bookmarkEnd w:id="29"/>
      <w:r w:rsidDel="00000000" w:rsidR="00000000" w:rsidRPr="00000000">
        <w:rPr>
          <w:b w:val="1"/>
          <w:color w:val="000000"/>
          <w:sz w:val="22"/>
          <w:szCs w:val="22"/>
          <w:rtl w:val="0"/>
        </w:rPr>
        <w:t xml:space="preserve">Conclusion</w:t>
      </w:r>
    </w:p>
    <w:p w:rsidR="00000000" w:rsidDel="00000000" w:rsidP="00000000" w:rsidRDefault="00000000" w:rsidRPr="00000000" w14:paraId="00000090">
      <w:pPr>
        <w:spacing w:after="240" w:before="240" w:lineRule="auto"/>
        <w:rPr/>
      </w:pPr>
      <w:r w:rsidDel="00000000" w:rsidR="00000000" w:rsidRPr="00000000">
        <w:rPr>
          <w:rtl w:val="0"/>
        </w:rPr>
        <w:t xml:space="preserve">This case highlights the importance of distinguishing severe cradle cap from seborrheic dermatitis in infants. Accurate diagnosis and targeted treatment can lead to significant improvement and prevent complications. Healthcare providers should be vigilant in identifying the signs of more serious conditions to ensure comprehensive care and effective management.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