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C0392B"/>
          <w:sz w:val="20"/>
          <w:szCs w:val="20"/>
        </w:rPr>
        <w:t xml:space="preserve">CONFIDENTIAL</w:t>
      </w:r>
    </w:p>
    <w:p>
      <w:pPr>
        <w:spacing w:after="200"/>
        <w:jc w:val="center"/>
      </w:pPr>
      <w:r>
        <w:rPr>
          <w:rFonts w:ascii="Arial" w:cs="Arial" w:eastAsia="Arial" w:hAnsi="Arial"/>
          <w:b/>
          <w:bCs/>
          <w:color w:val="2A343F"/>
          <w:sz w:val="44"/>
          <w:szCs w:val="44"/>
        </w:rPr>
        <w:t xml:space="preserve">LEGAL &amp; REGULATORY RISK ANALYSIS</w:t>
      </w:r>
    </w:p>
    <w:p>
      <w:pPr>
        <w:spacing w:after="80"/>
        <w:jc w:val="center"/>
      </w:pPr>
      <w:r>
        <w:rPr>
          <w:rFonts w:ascii="Arial" w:cs="Arial" w:eastAsia="Arial" w:hAnsi="Arial"/>
          <w:color w:val="2E75B6"/>
          <w:sz w:val="28"/>
          <w:szCs w:val="28"/>
        </w:rPr>
        <w:t xml:space="preserve">FanFlow Digital Discount Platform</w:t>
      </w:r>
    </w:p>
    <w:p>
      <w:pPr>
        <w:spacing w:after="80"/>
        <w:jc w:val="center"/>
      </w:pPr>
      <w:r>
        <w:rPr>
          <w:rFonts w:ascii="Arial" w:cs="Arial" w:eastAsia="Arial" w:hAnsi="Arial"/>
          <w:color w:val="71859A"/>
          <w:sz w:val="22"/>
          <w:szCs w:val="22"/>
        </w:rPr>
        <w:t xml:space="preserve">Vancouver, British Columbia, Canada</w:t>
      </w:r>
    </w:p>
    <w:p>
      <w:pPr>
        <w:pBdr>
          <w:bottom w:val="single" w:color="2E75B6" w:sz="6" w:space="1"/>
        </w:pBdr>
        <w:spacing w:after="200"/>
      </w:pPr>
    </w:p>
    <w:p>
      <w:pPr>
        <w:spacing w:after="80"/>
        <w:jc w:val="center"/>
      </w:pPr>
      <w:r>
        <w:rPr>
          <w:rFonts w:ascii="Arial" w:cs="Arial" w:eastAsia="Arial" w:hAnsi="Arial"/>
          <w:color w:val="2A343F"/>
          <w:sz w:val="22"/>
          <w:szCs w:val="22"/>
        </w:rPr>
        <w:t xml:space="preserve">Prepared for: PanBuddha (Parent Company)</w:t>
      </w:r>
    </w:p>
    <w:p>
      <w:pPr>
        <w:spacing w:after="80"/>
        <w:jc w:val="center"/>
      </w:pPr>
      <w:r>
        <w:rPr>
          <w:rFonts w:ascii="Arial" w:cs="Arial" w:eastAsia="Arial" w:hAnsi="Arial"/>
          <w:color w:val="71859A"/>
          <w:sz w:val="22"/>
          <w:szCs w:val="22"/>
        </w:rPr>
        <w:t xml:space="preserve">Date: March 21, 2026</w:t>
      </w:r>
    </w:p>
    <w:p>
      <w:pPr>
        <w:spacing w:after="600"/>
      </w:pPr>
    </w:p>
    <w:p>
      <w:pPr>
        <w:spacing w:after="80"/>
        <w:jc w:val="center"/>
      </w:pPr>
      <w:r>
        <w:rPr>
          <w:rFonts w:ascii="Arial" w:cs="Arial" w:eastAsia="Arial" w:hAnsi="Arial"/>
          <w:b/>
          <w:bCs/>
          <w:color w:val="C0392B"/>
          <w:sz w:val="18"/>
          <w:szCs w:val="18"/>
        </w:rPr>
        <w:t xml:space="preserve">RESEARCH BRIEF — NOT LEGAL ADVICE</w:t>
      </w:r>
    </w:p>
    <w:p>
      <w:pPr>
        <w:jc w:val="center"/>
      </w:pPr>
      <w:r>
        <w:rPr>
          <w:rFonts w:ascii="Arial" w:cs="Arial" w:eastAsia="Arial" w:hAnsi="Arial"/>
          <w:i/>
          <w:iCs/>
          <w:color w:val="71859A"/>
          <w:sz w:val="18"/>
          <w:szCs w:val="18"/>
        </w:rPr>
        <w:t xml:space="preserve">This document is a research compilation intended to inform consultation with a qualified lawyer. It does not constitute legal advice.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A343F"/>
          <w:sz w:val="32"/>
          <w:szCs w:val="32"/>
        </w:rPr>
        <w:t xml:space="preserve">1. Executive Summary</w:t>
      </w:r>
    </w:p>
    <w:p>
      <w:pPr>
        <w:spacing w:after="160" w:line="276"/>
      </w:pPr>
      <w:r>
        <w:rPr>
          <w:rFonts w:ascii="Arial" w:cs="Arial" w:eastAsia="Arial" w:hAnsi="Arial"/>
          <w:color w:val="2A343F"/>
          <w:sz w:val="22"/>
          <w:szCs w:val="22"/>
        </w:rPr>
        <w:t xml:space="preserve">This brief analyzes the legal and regulatory landscape for FanFlow, a map-based digital platform that displays discount offers from local businesses in Vancouver, BC. Users discover deals, visit venues in person, and redeem offers directly with the merchant. The platform does not process payments or take commissions — revenue comes from selling visibility, promotion, and listing services to businesses.</w:t>
      </w:r>
    </w:p>
    <w:p>
      <w:pPr>
        <w:pStyle w:val="Heading2"/>
        <w:spacing w:after="160" w:before="280"/>
      </w:pPr>
      <w:r>
        <w:rPr>
          <w:rFonts w:ascii="Arial" w:cs="Arial" w:eastAsia="Arial" w:hAnsi="Arial"/>
          <w:b/>
          <w:bCs/>
          <w:color w:val="2E75B6"/>
          <w:sz w:val="26"/>
          <w:szCs w:val="26"/>
        </w:rPr>
        <w:t xml:space="preserve">Top 5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3660"/>
      </w:tblGrid>
      <w:tr>
        <w:tc>
          <w:tcPr>
            <w:tcW w:type="dxa" w:w="450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Risk</w:t>
            </w:r>
          </w:p>
        </w:tc>
        <w:tc>
          <w:tcPr>
            <w:tcW w:type="dxa" w:w="120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Severity</w:t>
            </w:r>
          </w:p>
        </w:tc>
        <w:tc>
          <w:tcPr>
            <w:tcW w:type="dxa" w:w="366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Category</w:t>
            </w:r>
          </w:p>
        </w:tc>
      </w:tr>
      <w:tr>
        <w:tc>
          <w:tcPr>
            <w:tcW w:type="dxa" w:w="45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Misleading discount claims by merchants displayed on your platform</w:t>
            </w:r>
          </w:p>
        </w:tc>
        <w:tc>
          <w:tcPr>
            <w:tcW w:type="dxa" w:w="1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HIGH</w:t>
            </w:r>
          </w:p>
        </w:tc>
        <w:tc>
          <w:tcPr>
            <w:tcW w:type="dxa" w:w="36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Competition Act</w:t>
            </w:r>
          </w:p>
        </w:tc>
      </w:tr>
      <w:tr>
        <w:tc>
          <w:tcPr>
            <w:tcW w:type="dxa" w:w="45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Non-compliant push notifications triggering CASL penalties (up to $10M)</w:t>
            </w:r>
          </w:p>
        </w:tc>
        <w:tc>
          <w:tcPr>
            <w:tcW w:type="dxa" w:w="1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HIGH</w:t>
            </w:r>
          </w:p>
        </w:tc>
        <w:tc>
          <w:tcPr>
            <w:tcW w:type="dxa" w:w="36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Anti-Spam</w:t>
            </w:r>
          </w:p>
        </w:tc>
      </w:tr>
      <w:tr>
        <w:tc>
          <w:tcPr>
            <w:tcW w:type="dxa" w:w="45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Insufficient privacy consent mechanisms under BC PIPA</w:t>
            </w:r>
          </w:p>
        </w:tc>
        <w:tc>
          <w:tcPr>
            <w:tcW w:type="dxa" w:w="1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MEDIUM</w:t>
            </w:r>
          </w:p>
        </w:tc>
        <w:tc>
          <w:tcPr>
            <w:tcW w:type="dxa" w:w="36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Privacy</w:t>
            </w:r>
          </w:p>
        </w:tc>
      </w:tr>
      <w:tr>
        <w:tc>
          <w:tcPr>
            <w:tcW w:type="dxa" w:w="45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Consumer disputes where platform is perceived as endorsing offers</w:t>
            </w:r>
          </w:p>
        </w:tc>
        <w:tc>
          <w:tcPr>
            <w:tcW w:type="dxa" w:w="1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MEDIUM</w:t>
            </w:r>
          </w:p>
        </w:tc>
        <w:tc>
          <w:tcPr>
            <w:tcW w:type="dxa" w:w="36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Consumer Protection</w:t>
            </w:r>
          </w:p>
        </w:tc>
      </w:tr>
      <w:tr>
        <w:tc>
          <w:tcPr>
            <w:tcW w:type="dxa" w:w="45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Parent company liability exposure without corporate isolation</w:t>
            </w:r>
          </w:p>
        </w:tc>
        <w:tc>
          <w:tcPr>
            <w:tcW w:type="dxa" w:w="1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MEDIUM</w:t>
            </w:r>
          </w:p>
        </w:tc>
        <w:tc>
          <w:tcPr>
            <w:tcW w:type="dxa" w:w="36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Corporate Structure</w:t>
            </w:r>
          </w:p>
        </w:tc>
      </w:tr>
    </w:tbl>
    <w:p>
      <w:pPr>
        <w:spacing w:after="120"/>
      </w:pPr>
    </w:p>
    <w:p>
      <w:pPr>
        <w:pStyle w:val="Heading2"/>
        <w:spacing w:after="160" w:before="280"/>
      </w:pPr>
      <w:r>
        <w:rPr>
          <w:rFonts w:ascii="Arial" w:cs="Arial" w:eastAsia="Arial" w:hAnsi="Arial"/>
          <w:b/>
          <w:bCs/>
          <w:color w:val="2E75B6"/>
          <w:sz w:val="26"/>
          <w:szCs w:val="26"/>
        </w:rPr>
        <w:t xml:space="preserve">Recommended Positioning</w:t>
      </w:r>
    </w:p>
    <w:p>
      <w:pPr>
        <w:spacing w:after="160" w:line="276"/>
      </w:pPr>
      <w:r>
        <w:rPr>
          <w:rFonts w:ascii="Arial" w:cs="Arial" w:eastAsia="Arial" w:hAnsi="Arial"/>
          <w:color w:val="2A343F"/>
          <w:sz w:val="22"/>
          <w:szCs w:val="22"/>
        </w:rPr>
        <w:t xml:space="preserve">Position FanFlow as an advertising/technology platform, not a marketplace. This is the single most impactful structural decision for reducing liability. A marketplace implies you are facilitating or participating in the transaction between user and merchant. An advertising platform merely displays information provided by merchants. Since FanFlow does not process payments, hold inventory, or mediate transactions, the advertising platform classification is both accurate and legally advantageous.</w:t>
      </w:r>
    </w:p>
    <w:p>
      <w:pPr>
        <w:spacing w:after="120"/>
      </w:pPr>
    </w:p>
    <w:p>
      <w:pPr>
        <w:pStyle w:val="Heading1"/>
        <w:spacing w:after="200" w:before="360"/>
      </w:pPr>
      <w:r>
        <w:rPr>
          <w:rFonts w:ascii="Arial" w:cs="Arial" w:eastAsia="Arial" w:hAnsi="Arial"/>
          <w:b/>
          <w:bCs/>
          <w:color w:val="2A343F"/>
          <w:sz w:val="32"/>
          <w:szCs w:val="32"/>
        </w:rPr>
        <w:t xml:space="preserve">2. Liability Exposure Analysis</w:t>
      </w:r>
    </w:p>
    <w:p>
      <w:pPr>
        <w:pStyle w:val="Heading2"/>
        <w:spacing w:after="160" w:before="280"/>
      </w:pPr>
      <w:r>
        <w:rPr>
          <w:rFonts w:ascii="Arial" w:cs="Arial" w:eastAsia="Arial" w:hAnsi="Arial"/>
          <w:b/>
          <w:bCs/>
          <w:color w:val="2E75B6"/>
          <w:sz w:val="26"/>
          <w:szCs w:val="26"/>
        </w:rPr>
        <w:t xml:space="preserve">2.1 Can FanFlow Be Liable for Merchant Offers?</w:t>
      </w:r>
    </w:p>
    <w:p>
      <w:pPr>
        <w:spacing w:after="120" w:before="200"/>
      </w:pPr>
      <w:r>
        <w:rPr>
          <w:rFonts w:ascii="Arial" w:cs="Arial" w:eastAsia="Arial" w:hAnsi="Arial"/>
          <w:b/>
          <w:bCs/>
          <w:color w:val="2A343F"/>
          <w:sz w:val="22"/>
          <w:szCs w:val="22"/>
        </w:rPr>
        <w:t xml:space="preserve">False or Misleading Discounts</w:t>
      </w:r>
    </w:p>
    <w:p>
      <w:pPr>
        <w:spacing w:after="160" w:line="276"/>
      </w:pPr>
      <w:r>
        <w:rPr>
          <w:rFonts w:ascii="Arial" w:cs="Arial" w:eastAsia="Arial" w:hAnsi="Arial"/>
          <w:color w:val="2A343F"/>
          <w:sz w:val="22"/>
          <w:szCs w:val="22"/>
        </w:rPr>
        <w:t xml:space="preserve">Under the Competition Act, liability for misleading advertising generally rests with the originator of the misleading information. If a merchant provides FanFlow with a false discount claim (e.g., inflated “regular price” to exaggerate the discount), the merchant is primarily liable. However, if FanFlow takes that information and creates its own promotional content around it, FanFlow could become the originator and assume liability.</w:t>
      </w:r>
    </w:p>
    <w:p>
      <w:pPr>
        <w:spacing w:after="160" w:line="276"/>
      </w:pPr>
      <w:r>
        <w:rPr>
          <w:rFonts w:ascii="Arial" w:cs="Arial" w:eastAsia="Arial" w:hAnsi="Arial"/>
          <w:b/>
          <w:bCs/>
          <w:color w:val="2A343F"/>
          <w:sz w:val="22"/>
          <w:szCs w:val="22"/>
        </w:rPr>
        <w:t xml:space="preserve">Ordinary Selling Price (OSP) Rules: </w:t>
      </w:r>
      <w:r>
        <w:rPr>
          <w:rFonts w:ascii="Arial" w:cs="Arial" w:eastAsia="Arial" w:hAnsi="Arial"/>
          <w:color w:val="2A343F"/>
          <w:sz w:val="22"/>
          <w:szCs w:val="22"/>
        </w:rPr>
        <w:t xml:space="preserve">The Competition Act requires that any advertised discount must be compared against a legitimate regular price. To be valid, a regular price must pass the Volume Test (more than 50% of sales at that price in the prior year) or the Time Test (the product was genuinely offered at that price for a substantial period). Penalties for OSP violations can reach the greater of $10 million or 3% of annual worldwide gross revenue.</w:t>
      </w:r>
    </w:p>
    <w:p>
      <w:pPr>
        <w:spacing w:after="120" w:before="200"/>
      </w:pPr>
      <w:r>
        <w:rPr>
          <w:rFonts w:ascii="Arial" w:cs="Arial" w:eastAsia="Arial" w:hAnsi="Arial"/>
          <w:b/>
          <w:bCs/>
          <w:color w:val="2A343F"/>
          <w:sz w:val="22"/>
          <w:szCs w:val="22"/>
        </w:rPr>
        <w:t xml:space="preserve">Businesses Refusing to Honor Offers</w:t>
      </w:r>
    </w:p>
    <w:p>
      <w:pPr>
        <w:spacing w:after="160" w:line="276"/>
      </w:pPr>
      <w:r>
        <w:rPr>
          <w:rFonts w:ascii="Arial" w:cs="Arial" w:eastAsia="Arial" w:hAnsi="Arial"/>
          <w:color w:val="2A343F"/>
          <w:sz w:val="22"/>
          <w:szCs w:val="22"/>
        </w:rPr>
        <w:t xml:space="preserve">FanFlow is not party to the transaction between user and business. Absent a contractual guarantee to users, FanFlow should not be liable for a merchant refusing to honor a deal. However, if the platform’s marketing language implies that deals are guaranteed or endorsed by FanFlow, this creates potential liability under consumer protection law and the BC Business Practices and Consumer Protection Act (BPCPA).</w:t>
      </w:r>
    </w:p>
    <w:p>
      <w:pPr>
        <w:spacing w:after="120" w:before="200"/>
      </w:pPr>
      <w:r>
        <w:rPr>
          <w:rFonts w:ascii="Arial" w:cs="Arial" w:eastAsia="Arial" w:hAnsi="Arial"/>
          <w:b/>
          <w:bCs/>
          <w:color w:val="2A343F"/>
          <w:sz w:val="22"/>
          <w:szCs w:val="22"/>
        </w:rPr>
        <w:t xml:space="preserve">Poor Service or User-Merchant Disputes</w:t>
      </w:r>
    </w:p>
    <w:p>
      <w:pPr>
        <w:spacing w:after="160" w:line="276"/>
      </w:pPr>
      <w:r>
        <w:rPr>
          <w:rFonts w:ascii="Arial" w:cs="Arial" w:eastAsia="Arial" w:hAnsi="Arial"/>
          <w:color w:val="2A343F"/>
          <w:sz w:val="22"/>
          <w:szCs w:val="22"/>
        </w:rPr>
        <w:t xml:space="preserve">As a technology/advertising platform, FanFlow is not responsible for the quality of goods or services provided by merchants. This position is strengthened if the Terms of Service explicitly disclaim any endorsement of merchant quality. However, if FanFlow introduces review/rating systems, it should be careful not to create an implied endorsement relationship.</w:t>
      </w:r>
    </w:p>
    <w:p>
      <w:pPr>
        <w:pStyle w:val="Heading2"/>
        <w:spacing w:after="160" w:before="280"/>
      </w:pPr>
      <w:r>
        <w:rPr>
          <w:rFonts w:ascii="Arial" w:cs="Arial" w:eastAsia="Arial" w:hAnsi="Arial"/>
          <w:b/>
          <w:bCs/>
          <w:color w:val="2E75B6"/>
          <w:sz w:val="26"/>
          <w:szCs w:val="26"/>
        </w:rPr>
        <w:t xml:space="preserve">2.2 Intermediary vs. Marketplace vs. Advertising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Classification</w:t>
            </w:r>
          </w:p>
        </w:tc>
        <w:tc>
          <w:tcPr>
            <w:tcW w:type="dxa" w:w="380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Liability Level</w:t>
            </w:r>
          </w:p>
        </w:tc>
        <w:tc>
          <w:tcPr>
            <w:tcW w:type="dxa" w:w="336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FanFlow Fit</w:t>
            </w:r>
          </w:p>
        </w:tc>
      </w:tr>
      <w:tr>
        <w:tc>
          <w:tcPr>
            <w:tcW w:type="dxa" w:w="2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Marketplace</w:t>
            </w:r>
          </w:p>
        </w:tc>
        <w:tc>
          <w:tcPr>
            <w:tcW w:type="dxa" w:w="3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Higher — implies facilitation of the transaction, potential co-liability for merchant conduct</w:t>
            </w:r>
          </w:p>
        </w:tc>
        <w:tc>
          <w:tcPr>
            <w:tcW w:type="dxa" w:w="33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Poor — FanFlow does not process payments or mediate transactions</w:t>
            </w:r>
          </w:p>
        </w:tc>
      </w:tr>
      <w:tr>
        <w:tc>
          <w:tcPr>
            <w:tcW w:type="dxa" w:w="2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Advertising Platform</w:t>
            </w:r>
          </w:p>
        </w:tc>
        <w:tc>
          <w:tcPr>
            <w:tcW w:type="dxa" w:w="3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Lower — displays third-party information, originator bears primary liability</w:t>
            </w:r>
          </w:p>
        </w:tc>
        <w:tc>
          <w:tcPr>
            <w:tcW w:type="dxa" w:w="33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Strong — FanFlow displays merchant-provided offers for a fee</w:t>
            </w:r>
          </w:p>
        </w:tc>
      </w:tr>
      <w:tr>
        <w:tc>
          <w:tcPr>
            <w:tcW w:type="dxa" w:w="2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Technology Provider</w:t>
            </w:r>
          </w:p>
        </w:tc>
        <w:tc>
          <w:tcPr>
            <w:tcW w:type="dxa" w:w="3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Lowest — provides infrastructure only</w:t>
            </w:r>
          </w:p>
        </w:tc>
        <w:tc>
          <w:tcPr>
            <w:tcW w:type="dxa" w:w="33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Partial — the check-in/gamification features go beyond pure infrastructure</w:t>
            </w:r>
          </w:p>
        </w:tc>
      </w:tr>
    </w:tbl>
    <w:p>
      <w:pPr>
        <w:spacing w:after="120"/>
      </w:pPr>
    </w:p>
    <w:p>
      <w:pPr>
        <w:spacing w:after="160" w:line="276"/>
      </w:pPr>
      <w:r>
        <w:rPr>
          <w:rFonts w:ascii="Arial" w:cs="Arial" w:eastAsia="Arial" w:hAnsi="Arial"/>
          <w:i/>
          <w:iCs/>
          <w:color w:val="2A343F"/>
          <w:sz w:val="22"/>
          <w:szCs w:val="22"/>
        </w:rPr>
        <w:t xml:space="preserve">Canada currently lacks comprehensive intermediary liability legislation (it is the only G7 country without one). The CUSMA trade agreement provides some liability shields for platforms hosting third-party content, though a 2026 review may revisit these provisions. In the absence of clear statutory rules, courts will look at the actual nature of the relationship between FanFlow, merchants, and users.</w:t>
      </w:r>
    </w:p>
    <w:p>
      <w:pPr>
        <w:spacing w:after="120"/>
      </w:pPr>
    </w:p>
    <w:p>
      <w:pPr>
        <w:pStyle w:val="Heading1"/>
        <w:spacing w:after="200" w:before="360"/>
      </w:pPr>
      <w:r>
        <w:rPr>
          <w:rFonts w:ascii="Arial" w:cs="Arial" w:eastAsia="Arial" w:hAnsi="Arial"/>
          <w:b/>
          <w:bCs/>
          <w:color w:val="2A343F"/>
          <w:sz w:val="32"/>
          <w:szCs w:val="32"/>
        </w:rPr>
        <w:t xml:space="preserve">3. Required Legal Documents</w:t>
      </w:r>
    </w:p>
    <w:p>
      <w:pPr>
        <w:pStyle w:val="Heading2"/>
        <w:spacing w:after="160" w:before="280"/>
      </w:pPr>
      <w:r>
        <w:rPr>
          <w:rFonts w:ascii="Arial" w:cs="Arial" w:eastAsia="Arial" w:hAnsi="Arial"/>
          <w:b/>
          <w:bCs/>
          <w:color w:val="2E75B6"/>
          <w:sz w:val="26"/>
          <w:szCs w:val="26"/>
        </w:rPr>
        <w:t xml:space="preserve">3.1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Document</w:t>
            </w:r>
          </w:p>
        </w:tc>
        <w:tc>
          <w:tcPr>
            <w:tcW w:type="dxa" w:w="180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Status Required</w:t>
            </w:r>
          </w:p>
        </w:tc>
        <w:tc>
          <w:tcPr>
            <w:tcW w:type="dxa" w:w="456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Key Purpose</w:t>
            </w:r>
          </w:p>
        </w:tc>
      </w:tr>
      <w:tr>
        <w:tc>
          <w:tcPr>
            <w:tcW w:type="dxa" w:w="30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Terms of Service (Users)</w:t>
            </w:r>
          </w:p>
        </w:tc>
        <w:tc>
          <w:tcPr>
            <w:tcW w:type="dxa" w:w="1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MUST HAVE</w:t>
            </w:r>
          </w:p>
        </w:tc>
        <w:tc>
          <w:tcPr>
            <w:tcW w:type="dxa" w:w="45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Defines platform as advertising/tech provider, disclaims transaction liability, limits disputes</w:t>
            </w:r>
          </w:p>
        </w:tc>
      </w:tr>
      <w:tr>
        <w:tc>
          <w:tcPr>
            <w:tcW w:type="dxa" w:w="30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Merchant Agreement</w:t>
            </w:r>
          </w:p>
        </w:tc>
        <w:tc>
          <w:tcPr>
            <w:tcW w:type="dxa" w:w="1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MUST HAVE</w:t>
            </w:r>
          </w:p>
        </w:tc>
        <w:tc>
          <w:tcPr>
            <w:tcW w:type="dxa" w:w="45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Puts liability for offer accuracy on merchant, indemnification clause, content standards</w:t>
            </w:r>
          </w:p>
        </w:tc>
      </w:tr>
      <w:tr>
        <w:tc>
          <w:tcPr>
            <w:tcW w:type="dxa" w:w="30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Privacy Policy</w:t>
            </w:r>
          </w:p>
        </w:tc>
        <w:tc>
          <w:tcPr>
            <w:tcW w:type="dxa" w:w="1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MUST HAVE</w:t>
            </w:r>
          </w:p>
        </w:tc>
        <w:tc>
          <w:tcPr>
            <w:tcW w:type="dxa" w:w="45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BC PIPA and PIPEDA compliance, consent mechanisms, data handling</w:t>
            </w:r>
          </w:p>
        </w:tc>
      </w:tr>
      <w:tr>
        <w:tc>
          <w:tcPr>
            <w:tcW w:type="dxa" w:w="30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CASL Consent Records</w:t>
            </w:r>
          </w:p>
        </w:tc>
        <w:tc>
          <w:tcPr>
            <w:tcW w:type="dxa" w:w="1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MUST HAVE</w:t>
            </w:r>
          </w:p>
        </w:tc>
        <w:tc>
          <w:tcPr>
            <w:tcW w:type="dxa" w:w="45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Documented proof of express consent for push notifications</w:t>
            </w:r>
          </w:p>
        </w:tc>
      </w:tr>
      <w:tr>
        <w:tc>
          <w:tcPr>
            <w:tcW w:type="dxa" w:w="30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Disclaimer / Limitation of Liability</w:t>
            </w:r>
          </w:p>
        </w:tc>
        <w:tc>
          <w:tcPr>
            <w:tcW w:type="dxa" w:w="1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MUST HAVE</w:t>
            </w:r>
          </w:p>
        </w:tc>
        <w:tc>
          <w:tcPr>
            <w:tcW w:type="dxa" w:w="45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Platform does not guarantee offers, not responsible for merchant conduct</w:t>
            </w:r>
          </w:p>
        </w:tc>
      </w:tr>
      <w:tr>
        <w:tc>
          <w:tcPr>
            <w:tcW w:type="dxa" w:w="30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Advertising Disclosure</w:t>
            </w:r>
          </w:p>
        </w:tc>
        <w:tc>
          <w:tcPr>
            <w:tcW w:type="dxa" w:w="1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SHOULD HAVE</w:t>
            </w:r>
          </w:p>
        </w:tc>
        <w:tc>
          <w:tcPr>
            <w:tcW w:type="dxa" w:w="45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Clarifies promoted/paid placement vs organic listings</w:t>
            </w:r>
          </w:p>
        </w:tc>
      </w:tr>
      <w:tr>
        <w:tc>
          <w:tcPr>
            <w:tcW w:type="dxa" w:w="30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Cookie / Analytics Policy</w:t>
            </w:r>
          </w:p>
        </w:tc>
        <w:tc>
          <w:tcPr>
            <w:tcW w:type="dxa" w:w="1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SHOULD HAVE</w:t>
            </w:r>
          </w:p>
        </w:tc>
        <w:tc>
          <w:tcPr>
            <w:tcW w:type="dxa" w:w="45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If using tracking, analytics, or third-party cookies</w:t>
            </w:r>
          </w:p>
        </w:tc>
      </w:tr>
      <w:tr>
        <w:tc>
          <w:tcPr>
            <w:tcW w:type="dxa" w:w="30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Acceptable Use Policy</w:t>
            </w:r>
          </w:p>
        </w:tc>
        <w:tc>
          <w:tcPr>
            <w:tcW w:type="dxa" w:w="18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RECOMMENDED</w:t>
            </w:r>
          </w:p>
        </w:tc>
        <w:tc>
          <w:tcPr>
            <w:tcW w:type="dxa" w:w="45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Standards for merchant content, consequences for violations</w:t>
            </w:r>
          </w:p>
        </w:tc>
      </w:tr>
    </w:tbl>
    <w:p>
      <w:pPr>
        <w:spacing w:after="120"/>
      </w:pPr>
    </w:p>
    <w:p>
      <w:pPr>
        <w:pStyle w:val="Heading2"/>
        <w:spacing w:after="160" w:before="280"/>
      </w:pPr>
      <w:r>
        <w:rPr>
          <w:rFonts w:ascii="Arial" w:cs="Arial" w:eastAsia="Arial" w:hAnsi="Arial"/>
          <w:b/>
          <w:bCs/>
          <w:color w:val="2E75B6"/>
          <w:sz w:val="26"/>
          <w:szCs w:val="26"/>
        </w:rPr>
        <w:t xml:space="preserve">3.2 Key Clauses to Include</w:t>
      </w:r>
    </w:p>
    <w:p>
      <w:pPr>
        <w:spacing w:after="120" w:before="200"/>
      </w:pPr>
      <w:r>
        <w:rPr>
          <w:rFonts w:ascii="Arial" w:cs="Arial" w:eastAsia="Arial" w:hAnsi="Arial"/>
          <w:b/>
          <w:bCs/>
          <w:color w:val="2A343F"/>
          <w:sz w:val="22"/>
          <w:szCs w:val="22"/>
        </w:rPr>
        <w:t xml:space="preserve">Terms of Service (Users)</w:t>
      </w:r>
    </w:p>
    <w:p>
      <w:pPr>
        <w:pStyle w:val="ListParagraph"/>
        <w:numPr>
          <w:ilvl w:val="0"/>
          <w:numId w:val="2"/>
        </w:numPr>
        <w:spacing w:after="80"/>
      </w:pPr>
      <w:r>
        <w:rPr>
          <w:rFonts w:ascii="Arial" w:cs="Arial" w:eastAsia="Arial" w:hAnsi="Arial"/>
          <w:sz w:val="22"/>
          <w:szCs w:val="22"/>
        </w:rPr>
        <w:t xml:space="preserve">FanFlow is an advertising and discovery platform. It does not sell, provide, or guarantee any goods or services offered by merchants.</w:t>
      </w:r>
    </w:p>
    <w:p>
      <w:pPr>
        <w:pStyle w:val="ListParagraph"/>
        <w:numPr>
          <w:ilvl w:val="0"/>
          <w:numId w:val="2"/>
        </w:numPr>
        <w:spacing w:after="80"/>
      </w:pPr>
      <w:r>
        <w:rPr>
          <w:rFonts w:ascii="Arial" w:cs="Arial" w:eastAsia="Arial" w:hAnsi="Arial"/>
          <w:sz w:val="22"/>
          <w:szCs w:val="22"/>
        </w:rPr>
        <w:t xml:space="preserve">All transactions occur directly between the user and the merchant. FanFlow is not a party to any transaction.</w:t>
      </w:r>
    </w:p>
    <w:p>
      <w:pPr>
        <w:pStyle w:val="ListParagraph"/>
        <w:numPr>
          <w:ilvl w:val="0"/>
          <w:numId w:val="2"/>
        </w:numPr>
        <w:spacing w:after="80"/>
      </w:pPr>
      <w:r>
        <w:rPr>
          <w:rFonts w:ascii="Arial" w:cs="Arial" w:eastAsia="Arial" w:hAnsi="Arial"/>
          <w:sz w:val="22"/>
          <w:szCs w:val="22"/>
        </w:rPr>
        <w:t xml:space="preserve">FanFlow does not verify the accuracy, legality, or quality of offers. Use of offers is at the user’s own risk.</w:t>
      </w:r>
    </w:p>
    <w:p>
      <w:pPr>
        <w:pStyle w:val="ListParagraph"/>
        <w:numPr>
          <w:ilvl w:val="0"/>
          <w:numId w:val="2"/>
        </w:numPr>
        <w:spacing w:after="80"/>
      </w:pPr>
      <w:r>
        <w:rPr>
          <w:rFonts w:ascii="Arial" w:cs="Arial" w:eastAsia="Arial" w:hAnsi="Arial"/>
          <w:sz w:val="22"/>
          <w:szCs w:val="22"/>
        </w:rPr>
        <w:t xml:space="preserve">Limitation of liability: FanFlow’s total liability shall not exceed the amount paid by the user to FanFlow (which in most cases is $0).</w:t>
      </w:r>
    </w:p>
    <w:p>
      <w:pPr>
        <w:pStyle w:val="ListParagraph"/>
        <w:numPr>
          <w:ilvl w:val="0"/>
          <w:numId w:val="2"/>
        </w:numPr>
        <w:spacing w:after="120"/>
      </w:pPr>
      <w:r>
        <w:rPr>
          <w:rFonts w:ascii="Arial" w:cs="Arial" w:eastAsia="Arial" w:hAnsi="Arial"/>
          <w:sz w:val="22"/>
          <w:szCs w:val="22"/>
        </w:rPr>
        <w:t xml:space="preserve">Dispute resolution clause specifying BC jurisdiction and governing law.</w:t>
      </w:r>
    </w:p>
    <w:p>
      <w:pPr>
        <w:spacing w:after="120" w:before="200"/>
      </w:pPr>
      <w:r>
        <w:rPr>
          <w:rFonts w:ascii="Arial" w:cs="Arial" w:eastAsia="Arial" w:hAnsi="Arial"/>
          <w:b/>
          <w:bCs/>
          <w:color w:val="2A343F"/>
          <w:sz w:val="22"/>
          <w:szCs w:val="22"/>
        </w:rPr>
        <w:t xml:space="preserve">Merchant Agreement</w:t>
      </w:r>
    </w:p>
    <w:p>
      <w:pPr>
        <w:pStyle w:val="ListParagraph"/>
        <w:numPr>
          <w:ilvl w:val="0"/>
          <w:numId w:val="2"/>
        </w:numPr>
        <w:spacing w:after="80"/>
      </w:pPr>
      <w:r>
        <w:rPr>
          <w:rFonts w:ascii="Arial" w:cs="Arial" w:eastAsia="Arial" w:hAnsi="Arial"/>
          <w:sz w:val="22"/>
          <w:szCs w:val="22"/>
        </w:rPr>
        <w:t xml:space="preserve">Merchant represents and warrants that all offers are accurate, lawful, and comply with the Competition Act’s OSP rules.</w:t>
      </w:r>
    </w:p>
    <w:p>
      <w:pPr>
        <w:pStyle w:val="ListParagraph"/>
        <w:numPr>
          <w:ilvl w:val="0"/>
          <w:numId w:val="2"/>
        </w:numPr>
        <w:spacing w:after="80"/>
      </w:pPr>
      <w:r>
        <w:rPr>
          <w:rFonts w:ascii="Arial" w:cs="Arial" w:eastAsia="Arial" w:hAnsi="Arial"/>
          <w:sz w:val="22"/>
          <w:szCs w:val="22"/>
        </w:rPr>
        <w:t xml:space="preserve">Merchant agrees to honor all offers displayed on the platform during the stated validity period.</w:t>
      </w:r>
    </w:p>
    <w:p>
      <w:pPr>
        <w:pStyle w:val="ListParagraph"/>
        <w:numPr>
          <w:ilvl w:val="0"/>
          <w:numId w:val="2"/>
        </w:numPr>
        <w:spacing w:after="80"/>
      </w:pPr>
      <w:r>
        <w:rPr>
          <w:rFonts w:ascii="Arial" w:cs="Arial" w:eastAsia="Arial" w:hAnsi="Arial"/>
          <w:sz w:val="22"/>
          <w:szCs w:val="22"/>
        </w:rPr>
        <w:t xml:space="preserve">Indemnification: Merchant shall indemnify FanFlow against claims arising from inaccurate offers, misleading pricing, or refusal to honor deals.</w:t>
      </w:r>
    </w:p>
    <w:p>
      <w:pPr>
        <w:pStyle w:val="ListParagraph"/>
        <w:numPr>
          <w:ilvl w:val="0"/>
          <w:numId w:val="2"/>
        </w:numPr>
        <w:spacing w:after="120"/>
      </w:pPr>
      <w:r>
        <w:rPr>
          <w:rFonts w:ascii="Arial" w:cs="Arial" w:eastAsia="Arial" w:hAnsi="Arial"/>
          <w:sz w:val="22"/>
          <w:szCs w:val="22"/>
        </w:rPr>
        <w:t xml:space="preserve">FanFlow reserves the right to remove any offer or suspend any merchant that violates platform policies or applicable law.</w:t>
      </w:r>
    </w:p>
    <w:p>
      <w:pPr>
        <w:spacing w:after="120"/>
      </w:pPr>
    </w:p>
    <w:p>
      <w:pPr>
        <w:pStyle w:val="Heading1"/>
        <w:spacing w:after="200" w:before="360"/>
      </w:pPr>
      <w:r>
        <w:rPr>
          <w:rFonts w:ascii="Arial" w:cs="Arial" w:eastAsia="Arial" w:hAnsi="Arial"/>
          <w:b/>
          <w:bCs/>
          <w:color w:val="2A343F"/>
          <w:sz w:val="32"/>
          <w:szCs w:val="32"/>
        </w:rPr>
        <w:t xml:space="preserve">4. Regulatory Framework</w:t>
      </w:r>
    </w:p>
    <w:p>
      <w:pPr>
        <w:pStyle w:val="Heading2"/>
        <w:spacing w:after="160" w:before="280"/>
      </w:pPr>
      <w:r>
        <w:rPr>
          <w:rFonts w:ascii="Arial" w:cs="Arial" w:eastAsia="Arial" w:hAnsi="Arial"/>
          <w:b/>
          <w:bCs/>
          <w:color w:val="2E75B6"/>
          <w:sz w:val="26"/>
          <w:szCs w:val="26"/>
        </w:rPr>
        <w:t xml:space="preserve">4.1 Competition Act (Federal)</w:t>
      </w:r>
    </w:p>
    <w:p>
      <w:pPr>
        <w:spacing w:after="160" w:line="276"/>
      </w:pPr>
      <w:r>
        <w:rPr>
          <w:rFonts w:ascii="Arial" w:cs="Arial" w:eastAsia="Arial" w:hAnsi="Arial"/>
          <w:color w:val="2A343F"/>
          <w:sz w:val="22"/>
          <w:szCs w:val="22"/>
        </w:rPr>
        <w:t xml:space="preserve">The Competition Act prohibits false or misleading representations in advertising. Key provisions relevant to FanFlow:</w:t>
      </w:r>
    </w:p>
    <w:p>
      <w:pPr>
        <w:pStyle w:val="ListParagraph"/>
        <w:numPr>
          <w:ilvl w:val="0"/>
          <w:numId w:val="2"/>
        </w:numPr>
        <w:spacing w:after="80"/>
      </w:pPr>
      <w:r>
        <w:rPr>
          <w:rFonts w:ascii="Arial" w:cs="Arial" w:eastAsia="Arial" w:hAnsi="Arial"/>
          <w:b/>
          <w:bCs/>
          <w:sz w:val="22"/>
          <w:szCs w:val="22"/>
        </w:rPr>
        <w:t xml:space="preserve">Section 74.01: </w:t>
      </w:r>
      <w:r>
        <w:rPr>
          <w:rFonts w:ascii="Arial" w:cs="Arial" w:eastAsia="Arial" w:hAnsi="Arial"/>
          <w:sz w:val="22"/>
          <w:szCs w:val="22"/>
        </w:rPr>
        <w:t xml:space="preserve">Civil provision prohibiting misleading representations, including false discount claims and drip pricing. Penalties: up to $10M or 3% of global revenue.</w:t>
      </w:r>
    </w:p>
    <w:p>
      <w:pPr>
        <w:pStyle w:val="ListParagraph"/>
        <w:numPr>
          <w:ilvl w:val="0"/>
          <w:numId w:val="2"/>
        </w:numPr>
        <w:spacing w:after="80"/>
      </w:pPr>
      <w:r>
        <w:rPr>
          <w:rFonts w:ascii="Arial" w:cs="Arial" w:eastAsia="Arial" w:hAnsi="Arial"/>
          <w:b/>
          <w:bCs/>
          <w:sz w:val="22"/>
          <w:szCs w:val="22"/>
        </w:rPr>
        <w:t xml:space="preserve">Section 52: </w:t>
      </w:r>
      <w:r>
        <w:rPr>
          <w:rFonts w:ascii="Arial" w:cs="Arial" w:eastAsia="Arial" w:hAnsi="Arial"/>
          <w:sz w:val="22"/>
          <w:szCs w:val="22"/>
        </w:rPr>
        <w:t xml:space="preserve">Criminal provision for knowingly making false or misleading representations. Up to 14 years imprisonment and/or fines.</w:t>
      </w:r>
    </w:p>
    <w:p>
      <w:pPr>
        <w:pStyle w:val="ListParagraph"/>
        <w:numPr>
          <w:ilvl w:val="0"/>
          <w:numId w:val="2"/>
        </w:numPr>
        <w:spacing w:after="80"/>
      </w:pPr>
      <w:r>
        <w:rPr>
          <w:rFonts w:ascii="Arial" w:cs="Arial" w:eastAsia="Arial" w:hAnsi="Arial"/>
          <w:b/>
          <w:bCs/>
          <w:sz w:val="22"/>
          <w:szCs w:val="22"/>
        </w:rPr>
        <w:t xml:space="preserve">General Impression Test: </w:t>
      </w:r>
      <w:r>
        <w:rPr>
          <w:rFonts w:ascii="Arial" w:cs="Arial" w:eastAsia="Arial" w:hAnsi="Arial"/>
          <w:sz w:val="22"/>
          <w:szCs w:val="22"/>
        </w:rPr>
        <w:t xml:space="preserve">Courts consider both the literal meaning and the overall impression created by the advertising.</w:t>
      </w:r>
    </w:p>
    <w:p>
      <w:pPr>
        <w:spacing w:after="160" w:line="276"/>
      </w:pPr>
      <w:r>
        <w:rPr>
          <w:rFonts w:ascii="Arial" w:cs="Arial" w:eastAsia="Arial" w:hAnsi="Arial"/>
          <w:color w:val="2A343F"/>
          <w:sz w:val="22"/>
          <w:szCs w:val="22"/>
        </w:rPr>
        <w:t xml:space="preserve">For FanFlow: the primary risk is displaying merchant offers that violate OSP rules. While the originator (merchant) bears primary liability, FanFlow should implement reasonable safeguards such as requiring merchants to attest to the accuracy of their regular prices.</w:t>
      </w:r>
    </w:p>
    <w:p>
      <w:pPr>
        <w:spacing w:after="120"/>
      </w:pPr>
    </w:p>
    <w:p>
      <w:pPr>
        <w:pStyle w:val="Heading2"/>
        <w:spacing w:after="160" w:before="280"/>
      </w:pPr>
      <w:r>
        <w:rPr>
          <w:rFonts w:ascii="Arial" w:cs="Arial" w:eastAsia="Arial" w:hAnsi="Arial"/>
          <w:b/>
          <w:bCs/>
          <w:color w:val="2E75B6"/>
          <w:sz w:val="26"/>
          <w:szCs w:val="26"/>
        </w:rPr>
        <w:t xml:space="preserve">4.2 BC Business Practices and Consumer Protection Act (BPCPA)</w:t>
      </w:r>
    </w:p>
    <w:p>
      <w:pPr>
        <w:spacing w:after="160" w:line="276"/>
      </w:pPr>
      <w:r>
        <w:rPr>
          <w:rFonts w:ascii="Arial" w:cs="Arial" w:eastAsia="Arial" w:hAnsi="Arial"/>
          <w:color w:val="2A343F"/>
          <w:sz w:val="22"/>
          <w:szCs w:val="22"/>
        </w:rPr>
        <w:t xml:space="preserve">The BPCPA protects consumers from deceptive or unconscionable practices. Key 2025–2026 amendments through Bill 4 expand protections:</w:t>
      </w:r>
    </w:p>
    <w:p>
      <w:pPr>
        <w:pStyle w:val="ListParagraph"/>
        <w:numPr>
          <w:ilvl w:val="0"/>
          <w:numId w:val="2"/>
        </w:numPr>
        <w:spacing w:after="80"/>
      </w:pPr>
      <w:r>
        <w:rPr>
          <w:rFonts w:ascii="Arial" w:cs="Arial" w:eastAsia="Arial" w:hAnsi="Arial"/>
          <w:sz w:val="22"/>
          <w:szCs w:val="22"/>
        </w:rPr>
        <w:t xml:space="preserve">All contracts (including online) must follow consistent disclosure rules.</w:t>
      </w:r>
    </w:p>
    <w:p>
      <w:pPr>
        <w:pStyle w:val="ListParagraph"/>
        <w:numPr>
          <w:ilvl w:val="0"/>
          <w:numId w:val="2"/>
        </w:numPr>
        <w:spacing w:after="80"/>
      </w:pPr>
      <w:r>
        <w:rPr>
          <w:rFonts w:ascii="Arial" w:cs="Arial" w:eastAsia="Arial" w:hAnsi="Arial"/>
          <w:sz w:val="22"/>
          <w:szCs w:val="22"/>
        </w:rPr>
        <w:t xml:space="preserve">Businesses cannot restrict consumers from posting reviews online.</w:t>
      </w:r>
    </w:p>
    <w:p>
      <w:pPr>
        <w:pStyle w:val="ListParagraph"/>
        <w:numPr>
          <w:ilvl w:val="0"/>
          <w:numId w:val="2"/>
        </w:numPr>
        <w:spacing w:after="80"/>
      </w:pPr>
      <w:r>
        <w:rPr>
          <w:rFonts w:ascii="Arial" w:cs="Arial" w:eastAsia="Arial" w:hAnsi="Arial"/>
          <w:sz w:val="22"/>
          <w:szCs w:val="22"/>
        </w:rPr>
        <w:t xml:space="preserve">Restrictions on mandatory arbitration clauses that prevent class actions.</w:t>
      </w:r>
    </w:p>
    <w:p>
      <w:pPr>
        <w:pStyle w:val="ListParagraph"/>
        <w:numPr>
          <w:ilvl w:val="0"/>
          <w:numId w:val="2"/>
        </w:numPr>
        <w:spacing w:after="80"/>
      </w:pPr>
      <w:r>
        <w:rPr>
          <w:rFonts w:ascii="Arial" w:cs="Arial" w:eastAsia="Arial" w:hAnsi="Arial"/>
          <w:sz w:val="22"/>
          <w:szCs w:val="22"/>
        </w:rPr>
        <w:t xml:space="preserve">Remaining amendments take effect August 1, 2026.</w:t>
      </w:r>
    </w:p>
    <w:p>
      <w:pPr>
        <w:spacing w:after="160" w:line="276"/>
      </w:pPr>
      <w:r>
        <w:rPr>
          <w:rFonts w:ascii="Arial" w:cs="Arial" w:eastAsia="Arial" w:hAnsi="Arial"/>
          <w:color w:val="2A343F"/>
          <w:sz w:val="22"/>
          <w:szCs w:val="22"/>
        </w:rPr>
        <w:t xml:space="preserve">Consumer Protection BC receives and investigates consumer complaints. FanFlow should monitor these changes and ensure its Terms of Service do not include clauses that violate the new restrictions.</w:t>
      </w:r>
    </w:p>
    <w:p>
      <w:pPr>
        <w:spacing w:after="120"/>
      </w:pPr>
    </w:p>
    <w:p>
      <w:pPr>
        <w:pStyle w:val="Heading2"/>
        <w:spacing w:after="160" w:before="280"/>
      </w:pPr>
      <w:r>
        <w:rPr>
          <w:rFonts w:ascii="Arial" w:cs="Arial" w:eastAsia="Arial" w:hAnsi="Arial"/>
          <w:b/>
          <w:bCs/>
          <w:color w:val="2E75B6"/>
          <w:sz w:val="26"/>
          <w:szCs w:val="26"/>
        </w:rPr>
        <w:t xml:space="preserve">4.3 Privacy Law: BC PIPA and PIPEDA</w:t>
      </w:r>
    </w:p>
    <w:p>
      <w:pPr>
        <w:spacing w:after="160" w:line="276"/>
      </w:pPr>
      <w:r>
        <w:rPr>
          <w:rFonts w:ascii="Arial" w:cs="Arial" w:eastAsia="Arial" w:hAnsi="Arial"/>
          <w:color w:val="2A343F"/>
          <w:sz w:val="22"/>
          <w:szCs w:val="22"/>
        </w:rPr>
        <w:t xml:space="preserve">Since FanFlow operates in British Columbia, BC’s Personal Information Protection Act (PIPA) is the primary privacy law for intra-provincial activities. PIPEDA (federal) applies to cross-border data transfers or if data leaves BC.</w:t>
      </w:r>
    </w:p>
    <w:p>
      <w:pPr>
        <w:spacing w:after="120" w:before="200"/>
      </w:pPr>
      <w:r>
        <w:rPr>
          <w:rFonts w:ascii="Arial" w:cs="Arial" w:eastAsia="Arial" w:hAnsi="Arial"/>
          <w:b/>
          <w:bCs/>
          <w:color w:val="2A343F"/>
          <w:sz w:val="22"/>
          <w:szCs w:val="22"/>
        </w:rPr>
        <w:t xml:space="preserve">Key Requirements</w:t>
      </w:r>
    </w:p>
    <w:p>
      <w:pPr>
        <w:pStyle w:val="ListParagraph"/>
        <w:numPr>
          <w:ilvl w:val="0"/>
          <w:numId w:val="2"/>
        </w:numPr>
        <w:spacing w:after="80"/>
      </w:pPr>
      <w:r>
        <w:rPr>
          <w:rFonts w:ascii="Arial" w:cs="Arial" w:eastAsia="Arial" w:hAnsi="Arial"/>
          <w:b/>
          <w:bCs/>
          <w:sz w:val="22"/>
          <w:szCs w:val="22"/>
        </w:rPr>
        <w:t xml:space="preserve">Consent: </w:t>
      </w:r>
      <w:r>
        <w:rPr>
          <w:rFonts w:ascii="Arial" w:cs="Arial" w:eastAsia="Arial" w:hAnsi="Arial"/>
          <w:sz w:val="22"/>
          <w:szCs w:val="22"/>
        </w:rPr>
        <w:t xml:space="preserve">Obtain explicit consent before collecting, using, or disclosing personal information. Consent must be informed, voluntary, and specific.</w:t>
      </w:r>
    </w:p>
    <w:p>
      <w:pPr>
        <w:pStyle w:val="ListParagraph"/>
        <w:numPr>
          <w:ilvl w:val="0"/>
          <w:numId w:val="2"/>
        </w:numPr>
        <w:spacing w:after="80"/>
      </w:pPr>
      <w:r>
        <w:rPr>
          <w:rFonts w:ascii="Arial" w:cs="Arial" w:eastAsia="Arial" w:hAnsi="Arial"/>
          <w:b/>
          <w:bCs/>
          <w:sz w:val="22"/>
          <w:szCs w:val="22"/>
        </w:rPr>
        <w:t xml:space="preserve">Purpose Limitation: </w:t>
      </w:r>
      <w:r>
        <w:rPr>
          <w:rFonts w:ascii="Arial" w:cs="Arial" w:eastAsia="Arial" w:hAnsi="Arial"/>
          <w:sz w:val="22"/>
          <w:szCs w:val="22"/>
        </w:rPr>
        <w:t xml:space="preserve">Collect only the personal information needed for identified purposes. Do not use it for unrelated purposes without new consent.</w:t>
      </w:r>
    </w:p>
    <w:p>
      <w:pPr>
        <w:pStyle w:val="ListParagraph"/>
        <w:numPr>
          <w:ilvl w:val="0"/>
          <w:numId w:val="2"/>
        </w:numPr>
        <w:spacing w:after="80"/>
      </w:pPr>
      <w:r>
        <w:rPr>
          <w:rFonts w:ascii="Arial" w:cs="Arial" w:eastAsia="Arial" w:hAnsi="Arial"/>
          <w:b/>
          <w:bCs/>
          <w:sz w:val="22"/>
          <w:szCs w:val="22"/>
        </w:rPr>
        <w:t xml:space="preserve">Privacy Officer: </w:t>
      </w:r>
      <w:r>
        <w:rPr>
          <w:rFonts w:ascii="Arial" w:cs="Arial" w:eastAsia="Arial" w:hAnsi="Arial"/>
          <w:sz w:val="22"/>
          <w:szCs w:val="22"/>
        </w:rPr>
        <w:t xml:space="preserve">Appoint an individual responsible for privacy compliance.</w:t>
      </w:r>
    </w:p>
    <w:p>
      <w:pPr>
        <w:pStyle w:val="ListParagraph"/>
        <w:numPr>
          <w:ilvl w:val="0"/>
          <w:numId w:val="2"/>
        </w:numPr>
        <w:spacing w:after="80"/>
      </w:pPr>
      <w:r>
        <w:rPr>
          <w:rFonts w:ascii="Arial" w:cs="Arial" w:eastAsia="Arial" w:hAnsi="Arial"/>
          <w:b/>
          <w:bCs/>
          <w:sz w:val="22"/>
          <w:szCs w:val="22"/>
        </w:rPr>
        <w:t xml:space="preserve">Access Rights: </w:t>
      </w:r>
      <w:r>
        <w:rPr>
          <w:rFonts w:ascii="Arial" w:cs="Arial" w:eastAsia="Arial" w:hAnsi="Arial"/>
          <w:sz w:val="22"/>
          <w:szCs w:val="22"/>
        </w:rPr>
        <w:t xml:space="preserve">Individuals have the right to access their personal information and request corrections.</w:t>
      </w:r>
    </w:p>
    <w:p>
      <w:pPr>
        <w:pStyle w:val="ListParagraph"/>
        <w:numPr>
          <w:ilvl w:val="0"/>
          <w:numId w:val="2"/>
        </w:numPr>
        <w:spacing w:after="80"/>
      </w:pPr>
      <w:r>
        <w:rPr>
          <w:rFonts w:ascii="Arial" w:cs="Arial" w:eastAsia="Arial" w:hAnsi="Arial"/>
          <w:b/>
          <w:bCs/>
          <w:sz w:val="22"/>
          <w:szCs w:val="22"/>
        </w:rPr>
        <w:t xml:space="preserve">Data Breach Notification: </w:t>
      </w:r>
      <w:r>
        <w:rPr>
          <w:rFonts w:ascii="Arial" w:cs="Arial" w:eastAsia="Arial" w:hAnsi="Arial"/>
          <w:sz w:val="22"/>
          <w:szCs w:val="22"/>
        </w:rPr>
        <w:t xml:space="preserve">Report breaches that create a real risk of significant harm.</w:t>
      </w:r>
    </w:p>
    <w:p>
      <w:pPr>
        <w:spacing w:after="120" w:before="200"/>
      </w:pPr>
      <w:r>
        <w:rPr>
          <w:rFonts w:ascii="Arial" w:cs="Arial" w:eastAsia="Arial" w:hAnsi="Arial"/>
          <w:b/>
          <w:bCs/>
          <w:color w:val="2A343F"/>
          <w:sz w:val="22"/>
          <w:szCs w:val="22"/>
        </w:rPr>
        <w:t xml:space="preserve">FanFlow-Specific Considerations</w:t>
      </w:r>
    </w:p>
    <w:p>
      <w:pPr>
        <w:pStyle w:val="ListParagraph"/>
        <w:numPr>
          <w:ilvl w:val="0"/>
          <w:numId w:val="2"/>
        </w:numPr>
        <w:spacing w:after="80"/>
      </w:pPr>
      <w:r>
        <w:rPr>
          <w:rFonts w:ascii="Arial" w:cs="Arial" w:eastAsia="Arial" w:hAnsi="Arial"/>
          <w:sz w:val="22"/>
          <w:szCs w:val="22"/>
        </w:rPr>
        <w:t xml:space="preserve">Location data (map/check-in features) is sensitive personal information requiring clear consent.</w:t>
      </w:r>
    </w:p>
    <w:p>
      <w:pPr>
        <w:pStyle w:val="ListParagraph"/>
        <w:numPr>
          <w:ilvl w:val="0"/>
          <w:numId w:val="2"/>
        </w:numPr>
        <w:spacing w:after="80"/>
      </w:pPr>
      <w:r>
        <w:rPr>
          <w:rFonts w:ascii="Arial" w:cs="Arial" w:eastAsia="Arial" w:hAnsi="Arial"/>
          <w:sz w:val="22"/>
          <w:szCs w:val="22"/>
        </w:rPr>
        <w:t xml:space="preserve">Gamification data (coins/tokens/rewards history) constitutes personal information.</w:t>
      </w:r>
    </w:p>
    <w:p>
      <w:pPr>
        <w:pStyle w:val="ListParagraph"/>
        <w:numPr>
          <w:ilvl w:val="0"/>
          <w:numId w:val="2"/>
        </w:numPr>
        <w:spacing w:after="80"/>
      </w:pPr>
      <w:r>
        <w:rPr>
          <w:rFonts w:ascii="Arial" w:cs="Arial" w:eastAsia="Arial" w:hAnsi="Arial"/>
          <w:sz w:val="22"/>
          <w:szCs w:val="22"/>
        </w:rPr>
        <w:t xml:space="preserve">If using third-party analytics (Google Analytics, etc.), disclose data sharing with third parties.</w:t>
      </w:r>
    </w:p>
    <w:p>
      <w:pPr>
        <w:pStyle w:val="ListParagraph"/>
        <w:numPr>
          <w:ilvl w:val="0"/>
          <w:numId w:val="2"/>
        </w:numPr>
        <w:spacing w:after="80"/>
      </w:pPr>
      <w:r>
        <w:rPr>
          <w:rFonts w:ascii="Arial" w:cs="Arial" w:eastAsia="Arial" w:hAnsi="Arial"/>
          <w:sz w:val="22"/>
          <w:szCs w:val="22"/>
        </w:rPr>
        <w:t xml:space="preserve">Bill C-27 (CPPA) stalled in early 2025, so PIPEDA remains in effect federally. Monitor for reintroduction.</w:t>
      </w:r>
    </w:p>
    <w:p>
      <w:pPr>
        <w:spacing w:after="120"/>
      </w:pPr>
    </w:p>
    <w:p>
      <w:pPr>
        <w:pStyle w:val="Heading2"/>
        <w:spacing w:after="160" w:before="280"/>
      </w:pPr>
      <w:r>
        <w:rPr>
          <w:rFonts w:ascii="Arial" w:cs="Arial" w:eastAsia="Arial" w:hAnsi="Arial"/>
          <w:b/>
          <w:bCs/>
          <w:color w:val="2E75B6"/>
          <w:sz w:val="26"/>
          <w:szCs w:val="26"/>
        </w:rPr>
        <w:t xml:space="preserve">4.4 CASL (Canada’s Anti-Spam Legislation)</w:t>
      </w:r>
    </w:p>
    <w:p>
      <w:pPr>
        <w:spacing w:after="160" w:line="276"/>
      </w:pPr>
      <w:r>
        <w:rPr>
          <w:rFonts w:ascii="Arial" w:cs="Arial" w:eastAsia="Arial" w:hAnsi="Arial"/>
          <w:color w:val="2A343F"/>
          <w:sz w:val="22"/>
          <w:szCs w:val="22"/>
        </w:rPr>
        <w:t xml:space="preserve">CASL is critical for FanFlow because push notifications and promotional messages to users are likely Commercial Electronic Messages (CEMs).</w:t>
      </w:r>
    </w:p>
    <w:p>
      <w:pPr>
        <w:spacing w:after="120" w:before="200"/>
      </w:pPr>
      <w:r>
        <w:rPr>
          <w:rFonts w:ascii="Arial" w:cs="Arial" w:eastAsia="Arial" w:hAnsi="Arial"/>
          <w:b/>
          <w:bCs/>
          <w:color w:val="2A343F"/>
          <w:sz w:val="22"/>
          <w:szCs w:val="22"/>
        </w:rPr>
        <w:t xml:space="preserve">Requirements</w:t>
      </w:r>
    </w:p>
    <w:p>
      <w:pPr>
        <w:pStyle w:val="ListParagraph"/>
        <w:numPr>
          <w:ilvl w:val="0"/>
          <w:numId w:val="3"/>
        </w:numPr>
        <w:spacing w:after="80"/>
      </w:pPr>
      <w:r>
        <w:rPr>
          <w:rFonts w:ascii="Arial" w:cs="Arial" w:eastAsia="Arial" w:hAnsi="Arial"/>
          <w:b/>
          <w:bCs/>
          <w:sz w:val="22"/>
          <w:szCs w:val="22"/>
        </w:rPr>
        <w:t xml:space="preserve">Consent: </w:t>
      </w:r>
      <w:r>
        <w:rPr>
          <w:rFonts w:ascii="Arial" w:cs="Arial" w:eastAsia="Arial" w:hAnsi="Arial"/>
          <w:sz w:val="22"/>
          <w:szCs w:val="22"/>
        </w:rPr>
        <w:t xml:space="preserve">Obtain express consent before sending commercial push notifications. Express consent does not expire, but users must be able to withdraw at any time.</w:t>
      </w:r>
    </w:p>
    <w:p>
      <w:pPr>
        <w:pStyle w:val="ListParagraph"/>
        <w:numPr>
          <w:ilvl w:val="0"/>
          <w:numId w:val="3"/>
        </w:numPr>
        <w:spacing w:after="80"/>
      </w:pPr>
      <w:r>
        <w:rPr>
          <w:rFonts w:ascii="Arial" w:cs="Arial" w:eastAsia="Arial" w:hAnsi="Arial"/>
          <w:b/>
          <w:bCs/>
          <w:sz w:val="22"/>
          <w:szCs w:val="22"/>
        </w:rPr>
        <w:t xml:space="preserve">Identification: </w:t>
      </w:r>
      <w:r>
        <w:rPr>
          <w:rFonts w:ascii="Arial" w:cs="Arial" w:eastAsia="Arial" w:hAnsi="Arial"/>
          <w:sz w:val="22"/>
          <w:szCs w:val="22"/>
        </w:rPr>
        <w:t xml:space="preserve">Every CEM must identify the sender (FanFlow), include contact information, and include a physical mailing address.</w:t>
      </w:r>
    </w:p>
    <w:p>
      <w:pPr>
        <w:pStyle w:val="ListParagraph"/>
        <w:numPr>
          <w:ilvl w:val="0"/>
          <w:numId w:val="3"/>
        </w:numPr>
        <w:spacing w:after="80"/>
      </w:pPr>
      <w:r>
        <w:rPr>
          <w:rFonts w:ascii="Arial" w:cs="Arial" w:eastAsia="Arial" w:hAnsi="Arial"/>
          <w:b/>
          <w:bCs/>
          <w:sz w:val="22"/>
          <w:szCs w:val="22"/>
        </w:rPr>
        <w:t xml:space="preserve">Unsubscribe Mechanism: </w:t>
      </w:r>
      <w:r>
        <w:rPr>
          <w:rFonts w:ascii="Arial" w:cs="Arial" w:eastAsia="Arial" w:hAnsi="Arial"/>
          <w:sz w:val="22"/>
          <w:szCs w:val="22"/>
        </w:rPr>
        <w:t xml:space="preserve">Must be free, simple, and accessible for 60 days. Unsubscribe requests must be honored within 10 business days.</w:t>
      </w:r>
    </w:p>
    <w:p>
      <w:pPr>
        <w:pStyle w:val="ListParagraph"/>
        <w:numPr>
          <w:ilvl w:val="0"/>
          <w:numId w:val="3"/>
        </w:numPr>
        <w:spacing w:after="80"/>
      </w:pPr>
      <w:r>
        <w:rPr>
          <w:rFonts w:ascii="Arial" w:cs="Arial" w:eastAsia="Arial" w:hAnsi="Arial"/>
          <w:b/>
          <w:bCs/>
          <w:sz w:val="22"/>
          <w:szCs w:val="22"/>
        </w:rPr>
        <w:t xml:space="preserve">Record Keeping: </w:t>
      </w:r>
      <w:r>
        <w:rPr>
          <w:rFonts w:ascii="Arial" w:cs="Arial" w:eastAsia="Arial" w:hAnsi="Arial"/>
          <w:sz w:val="22"/>
          <w:szCs w:val="22"/>
        </w:rPr>
        <w:t xml:space="preserve">Maintain records of when and how consent was obtained for every user.</w:t>
      </w:r>
    </w:p>
    <w:p>
      <w:pPr>
        <w:spacing w:after="120" w:before="200"/>
      </w:pPr>
      <w:r>
        <w:rPr>
          <w:rFonts w:ascii="Arial" w:cs="Arial" w:eastAsia="Arial" w:hAnsi="Arial"/>
          <w:b/>
          <w:bCs/>
          <w:color w:val="2A343F"/>
          <w:sz w:val="22"/>
          <w:szCs w:val="22"/>
        </w:rPr>
        <w:t xml:space="preserve">Possible Exemption for Push Notifications</w:t>
      </w:r>
    </w:p>
    <w:p>
      <w:pPr>
        <w:spacing w:after="160" w:line="276"/>
      </w:pPr>
      <w:r>
        <w:rPr>
          <w:rFonts w:ascii="Arial" w:cs="Arial" w:eastAsia="Arial" w:hAnsi="Arial"/>
          <w:color w:val="2A343F"/>
          <w:sz w:val="22"/>
          <w:szCs w:val="22"/>
        </w:rPr>
        <w:t xml:space="preserve">CASL provides an exemption for messages sent on electronic messaging services where the user requested them and has full control to disable them. Standard mobile OS push notification permissions (user must explicitly enable notifications) may satisfy this exemption. However, this must be reviewed case-by-case and should not be relied upon as a blanket exemption.</w:t>
      </w:r>
    </w:p>
    <w:p>
      <w:pPr>
        <w:spacing w:after="120" w:before="200"/>
      </w:pPr>
      <w:r>
        <w:rPr>
          <w:rFonts w:ascii="Arial" w:cs="Arial" w:eastAsia="Arial" w:hAnsi="Arial"/>
          <w:b/>
          <w:bCs/>
          <w:color w:val="2A343F"/>
          <w:sz w:val="22"/>
          <w:szCs w:val="22"/>
        </w:rPr>
        <w:t xml:space="preserve">Penalties</w:t>
      </w:r>
    </w:p>
    <w:p>
      <w:pPr>
        <w:spacing w:after="160" w:line="276"/>
      </w:pPr>
      <w:r>
        <w:rPr>
          <w:rFonts w:ascii="Arial" w:cs="Arial" w:eastAsia="Arial" w:hAnsi="Arial"/>
          <w:color w:val="C0392B"/>
          <w:sz w:val="22"/>
          <w:szCs w:val="22"/>
        </w:rPr>
        <w:t xml:space="preserve">Up to $10 million per violation for organizations. Up to $1 million for individuals. Users also have a private right of action for up to $200 per unsolicited CEM received.</w:t>
      </w:r>
    </w:p>
    <w:p>
      <w:pPr>
        <w:spacing w:after="120"/>
      </w:pPr>
    </w:p>
    <w:p>
      <w:pPr>
        <w:pStyle w:val="Heading1"/>
        <w:spacing w:after="200" w:before="360"/>
      </w:pPr>
      <w:r>
        <w:rPr>
          <w:rFonts w:ascii="Arial" w:cs="Arial" w:eastAsia="Arial" w:hAnsi="Arial"/>
          <w:b/>
          <w:bCs/>
          <w:color w:val="2A343F"/>
          <w:sz w:val="32"/>
          <w:szCs w:val="32"/>
        </w:rPr>
        <w:t xml:space="preserve">5. Promotions &amp; Discounts</w:t>
      </w:r>
    </w:p>
    <w:p>
      <w:pPr>
        <w:spacing w:after="160" w:line="276"/>
      </w:pPr>
      <w:r>
        <w:rPr>
          <w:rFonts w:ascii="Arial" w:cs="Arial" w:eastAsia="Arial" w:hAnsi="Arial"/>
          <w:color w:val="2A343F"/>
          <w:sz w:val="22"/>
          <w:szCs w:val="22"/>
        </w:rPr>
        <w:t xml:space="preserve">When displaying merchant discounts, FanFlow must ensure compliance with the Competition Act’s advertising provisions:</w:t>
      </w:r>
    </w:p>
    <w:p>
      <w:pPr>
        <w:spacing w:after="120" w:before="200"/>
      </w:pPr>
      <w:r>
        <w:rPr>
          <w:rFonts w:ascii="Arial" w:cs="Arial" w:eastAsia="Arial" w:hAnsi="Arial"/>
          <w:b/>
          <w:bCs/>
          <w:color w:val="2A343F"/>
          <w:sz w:val="22"/>
          <w:szCs w:val="22"/>
        </w:rPr>
        <w:t xml:space="preserve">Requirements for Displayed Offers</w:t>
      </w:r>
    </w:p>
    <w:p>
      <w:pPr>
        <w:pStyle w:val="ListParagraph"/>
        <w:numPr>
          <w:ilvl w:val="0"/>
          <w:numId w:val="2"/>
        </w:numPr>
        <w:spacing w:after="80"/>
      </w:pPr>
      <w:r>
        <w:rPr>
          <w:rFonts w:ascii="Arial" w:cs="Arial" w:eastAsia="Arial" w:hAnsi="Arial"/>
          <w:sz w:val="22"/>
          <w:szCs w:val="22"/>
        </w:rPr>
        <w:t xml:space="preserve">Every discount must reference a legitimate regular price that passes the Volume Test or Time Test.</w:t>
      </w:r>
    </w:p>
    <w:p>
      <w:pPr>
        <w:pStyle w:val="ListParagraph"/>
        <w:numPr>
          <w:ilvl w:val="0"/>
          <w:numId w:val="2"/>
        </w:numPr>
        <w:spacing w:after="80"/>
      </w:pPr>
      <w:r>
        <w:rPr>
          <w:rFonts w:ascii="Arial" w:cs="Arial" w:eastAsia="Arial" w:hAnsi="Arial"/>
          <w:sz w:val="22"/>
          <w:szCs w:val="22"/>
        </w:rPr>
        <w:t xml:space="preserve">Conditions, limitations, and expiry dates must be clearly disclosed alongside the offer.</w:t>
      </w:r>
    </w:p>
    <w:p>
      <w:pPr>
        <w:pStyle w:val="ListParagraph"/>
        <w:numPr>
          <w:ilvl w:val="0"/>
          <w:numId w:val="2"/>
        </w:numPr>
        <w:spacing w:after="80"/>
      </w:pPr>
      <w:r>
        <w:rPr>
          <w:rFonts w:ascii="Arial" w:cs="Arial" w:eastAsia="Arial" w:hAnsi="Arial"/>
          <w:sz w:val="22"/>
          <w:szCs w:val="22"/>
        </w:rPr>
        <w:t xml:space="preserve">Drip pricing (adding hidden fees after the initial price is shown) is now explicitly prohibited under the amended Competition Act.</w:t>
      </w:r>
    </w:p>
    <w:p>
      <w:pPr>
        <w:spacing w:after="120" w:before="200"/>
      </w:pPr>
      <w:r>
        <w:rPr>
          <w:rFonts w:ascii="Arial" w:cs="Arial" w:eastAsia="Arial" w:hAnsi="Arial"/>
          <w:b/>
          <w:bCs/>
          <w:color w:val="2A343F"/>
          <w:sz w:val="22"/>
          <w:szCs w:val="22"/>
        </w:rPr>
        <w:t xml:space="preserve">Allocating Risk</w:t>
      </w:r>
    </w:p>
    <w:p>
      <w:pPr>
        <w:spacing w:after="160" w:line="276"/>
      </w:pPr>
      <w:r>
        <w:rPr>
          <w:rFonts w:ascii="Arial" w:cs="Arial" w:eastAsia="Arial" w:hAnsi="Arial"/>
          <w:color w:val="2A343F"/>
          <w:sz w:val="22"/>
          <w:szCs w:val="22"/>
        </w:rPr>
        <w:t xml:space="preserve">Since merchants create the offers, FanFlow should structure its merchant agreement so that merchants bear responsibility for offer accuracy. FanFlow’s role is to display the offer, not to verify whether the regular price meets the OSP tests. However, FanFlow should implement a reporting mechanism for users to flag suspicious offers and promptly remove content that appears misleading.</w:t>
      </w:r>
    </w:p>
    <w:p>
      <w:pPr>
        <w:spacing w:after="120"/>
      </w:pPr>
    </w:p>
    <w:p>
      <w:pPr>
        <w:pStyle w:val="Heading1"/>
        <w:spacing w:after="200" w:before="360"/>
      </w:pPr>
      <w:r>
        <w:rPr>
          <w:rFonts w:ascii="Arial" w:cs="Arial" w:eastAsia="Arial" w:hAnsi="Arial"/>
          <w:b/>
          <w:bCs/>
          <w:color w:val="2A343F"/>
          <w:sz w:val="32"/>
          <w:szCs w:val="32"/>
        </w:rPr>
        <w:t xml:space="preserve">6. Risk Mitigation Strategy</w:t>
      </w:r>
    </w:p>
    <w:p>
      <w:pPr>
        <w:pStyle w:val="Heading2"/>
        <w:spacing w:after="160" w:before="280"/>
      </w:pPr>
      <w:r>
        <w:rPr>
          <w:rFonts w:ascii="Arial" w:cs="Arial" w:eastAsia="Arial" w:hAnsi="Arial"/>
          <w:b/>
          <w:bCs/>
          <w:color w:val="2E75B6"/>
          <w:sz w:val="26"/>
          <w:szCs w:val="26"/>
        </w:rPr>
        <w:t xml:space="preserve">6.1 Structural Positioning</w:t>
      </w:r>
    </w:p>
    <w:p>
      <w:pPr>
        <w:pStyle w:val="ListParagraph"/>
        <w:numPr>
          <w:ilvl w:val="0"/>
          <w:numId w:val="2"/>
        </w:numPr>
        <w:spacing w:after="80"/>
      </w:pPr>
      <w:r>
        <w:rPr>
          <w:rFonts w:ascii="Arial" w:cs="Arial" w:eastAsia="Arial" w:hAnsi="Arial"/>
          <w:sz w:val="22"/>
          <w:szCs w:val="22"/>
        </w:rPr>
        <w:t xml:space="preserve">Consistently position FanFlow as an advertising/discovery platform in all public materials, Terms of Service, and merchant agreements.</w:t>
      </w:r>
    </w:p>
    <w:p>
      <w:pPr>
        <w:pStyle w:val="ListParagraph"/>
        <w:numPr>
          <w:ilvl w:val="0"/>
          <w:numId w:val="2"/>
        </w:numPr>
        <w:spacing w:after="80"/>
      </w:pPr>
      <w:r>
        <w:rPr>
          <w:rFonts w:ascii="Arial" w:cs="Arial" w:eastAsia="Arial" w:hAnsi="Arial"/>
          <w:sz w:val="22"/>
          <w:szCs w:val="22"/>
        </w:rPr>
        <w:t xml:space="preserve">Never use marketplace language such as “buy,” “purchase,” or “transaction” in the platform UI.</w:t>
      </w:r>
    </w:p>
    <w:p>
      <w:pPr>
        <w:pStyle w:val="ListParagraph"/>
        <w:numPr>
          <w:ilvl w:val="0"/>
          <w:numId w:val="2"/>
        </w:numPr>
        <w:spacing w:after="80"/>
      </w:pPr>
      <w:r>
        <w:rPr>
          <w:rFonts w:ascii="Arial" w:cs="Arial" w:eastAsia="Arial" w:hAnsi="Arial"/>
          <w:sz w:val="22"/>
          <w:szCs w:val="22"/>
        </w:rPr>
        <w:t xml:space="preserve">The check-in system should be framed as a discovery/engagement tool, not a transactional verification system.</w:t>
      </w:r>
    </w:p>
    <w:p>
      <w:pPr>
        <w:pStyle w:val="Heading2"/>
        <w:spacing w:after="160" w:before="280"/>
      </w:pPr>
      <w:r>
        <w:rPr>
          <w:rFonts w:ascii="Arial" w:cs="Arial" w:eastAsia="Arial" w:hAnsi="Arial"/>
          <w:b/>
          <w:bCs/>
          <w:color w:val="2E75B6"/>
          <w:sz w:val="26"/>
          <w:szCs w:val="26"/>
        </w:rPr>
        <w:t xml:space="preserve">6.2 Do This / Avoid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DO THIS</w:t>
            </w:r>
          </w:p>
        </w:tc>
        <w:tc>
          <w:tcPr>
            <w:tcW w:type="dxa" w:w="468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AVOID THIS</w:t>
            </w:r>
          </w:p>
        </w:tc>
      </w:tr>
      <w:tr>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Require merchants to attest to offer accuracy in the merchant agreement</w:t>
            </w:r>
          </w:p>
        </w:tc>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Creating or modifying merchant offers — always display merchant-provided content as-is</w:t>
            </w:r>
          </w:p>
        </w:tc>
      </w:tr>
      <w:tr>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Implement a user reporting mechanism for misleading offers</w:t>
            </w:r>
          </w:p>
        </w:tc>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Using language that implies FanFlow guarantees, endorses, or verifies offers</w:t>
            </w:r>
          </w:p>
        </w:tc>
      </w:tr>
      <w:tr>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Obtain and record express consent for all push notifications</w:t>
            </w:r>
          </w:p>
        </w:tc>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Sending push notifications without documented consent, even to existing users</w:t>
            </w:r>
          </w:p>
        </w:tc>
      </w:tr>
      <w:tr>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Disclose location data collection clearly in the privacy policy</w:t>
            </w:r>
          </w:p>
        </w:tc>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Collecting location data passively or sharing it with third parties without consent</w:t>
            </w:r>
          </w:p>
        </w:tc>
      </w:tr>
      <w:tr>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Include clear expiry dates and conditions on every displayed offer</w:t>
            </w:r>
          </w:p>
        </w:tc>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Displaying offers without visible conditions or expiry dates</w:t>
            </w:r>
          </w:p>
        </w:tc>
      </w:tr>
      <w:tr>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Get a lawyer to draft your Terms of Service and Merchant Agreement</w:t>
            </w:r>
          </w:p>
        </w:tc>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Using template legal documents without BC-specific customization</w:t>
            </w:r>
          </w:p>
        </w:tc>
      </w:tr>
      <w:tr>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Incorporate FanFlow as a separate legal entity under PanBuddha</w:t>
            </w:r>
          </w:p>
        </w:tc>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Running FanFlow as an unincorporated division of PanBuddha</w:t>
            </w:r>
          </w:p>
        </w:tc>
      </w:tr>
      <w:tr>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Carry general liability and errors &amp; omissions (E&amp;O) insurance</w:t>
            </w:r>
          </w:p>
        </w:tc>
        <w:tc>
          <w:tcPr>
            <w:tcW w:type="dxa" w:w="468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Assuming the corporate veil alone is sufficient protection</w:t>
            </w:r>
          </w:p>
        </w:tc>
      </w:tr>
    </w:tbl>
    <w:p>
      <w:pPr>
        <w:spacing w:after="120"/>
      </w:pPr>
    </w:p>
    <w:p>
      <w:pPr>
        <w:pStyle w:val="Heading1"/>
        <w:spacing w:after="200" w:before="360"/>
      </w:pPr>
      <w:r>
        <w:rPr>
          <w:rFonts w:ascii="Arial" w:cs="Arial" w:eastAsia="Arial" w:hAnsi="Arial"/>
          <w:b/>
          <w:bCs/>
          <w:color w:val="2A343F"/>
          <w:sz w:val="32"/>
          <w:szCs w:val="32"/>
        </w:rPr>
        <w:t xml:space="preserve">7. Corporate Structure Recommendations</w:t>
      </w:r>
    </w:p>
    <w:p>
      <w:pPr>
        <w:pStyle w:val="Heading2"/>
        <w:spacing w:after="160" w:before="280"/>
      </w:pPr>
      <w:r>
        <w:rPr>
          <w:rFonts w:ascii="Arial" w:cs="Arial" w:eastAsia="Arial" w:hAnsi="Arial"/>
          <w:b/>
          <w:bCs/>
          <w:color w:val="2E75B6"/>
          <w:sz w:val="26"/>
          <w:szCs w:val="26"/>
        </w:rPr>
        <w:t xml:space="preserve">7.1 Separate Legal Entity</w:t>
      </w:r>
    </w:p>
    <w:p>
      <w:pPr>
        <w:spacing w:after="160" w:line="276"/>
      </w:pPr>
      <w:r>
        <w:rPr>
          <w:rFonts w:ascii="Arial" w:cs="Arial" w:eastAsia="Arial" w:hAnsi="Arial"/>
          <w:color w:val="2A343F"/>
          <w:sz w:val="22"/>
          <w:szCs w:val="22"/>
        </w:rPr>
        <w:t xml:space="preserve">FanFlow should be incorporated as a separate BC company, wholly owned by PanBuddha. This is strongly recommended for several reasons:</w:t>
      </w:r>
    </w:p>
    <w:p>
      <w:pPr>
        <w:pStyle w:val="ListParagraph"/>
        <w:numPr>
          <w:ilvl w:val="0"/>
          <w:numId w:val="2"/>
        </w:numPr>
        <w:spacing w:after="80"/>
      </w:pPr>
      <w:r>
        <w:rPr>
          <w:rFonts w:ascii="Arial" w:cs="Arial" w:eastAsia="Arial" w:hAnsi="Arial"/>
          <w:b/>
          <w:bCs/>
          <w:sz w:val="22"/>
          <w:szCs w:val="22"/>
        </w:rPr>
        <w:t xml:space="preserve">Liability Isolation: </w:t>
      </w:r>
      <w:r>
        <w:rPr>
          <w:rFonts w:ascii="Arial" w:cs="Arial" w:eastAsia="Arial" w:hAnsi="Arial"/>
          <w:sz w:val="22"/>
          <w:szCs w:val="22"/>
        </w:rPr>
        <w:t xml:space="preserve">If a merchant posts misleading offers and a user sues, the liability is contained within the FanFlow entity. PanBuddha and other apps are shielded.</w:t>
      </w:r>
    </w:p>
    <w:p>
      <w:pPr>
        <w:pStyle w:val="ListParagraph"/>
        <w:numPr>
          <w:ilvl w:val="0"/>
          <w:numId w:val="2"/>
        </w:numPr>
        <w:spacing w:after="80"/>
      </w:pPr>
      <w:r>
        <w:rPr>
          <w:rFonts w:ascii="Arial" w:cs="Arial" w:eastAsia="Arial" w:hAnsi="Arial"/>
          <w:b/>
          <w:bCs/>
          <w:sz w:val="22"/>
          <w:szCs w:val="22"/>
        </w:rPr>
        <w:t xml:space="preserve">Clean Contracts: </w:t>
      </w:r>
      <w:r>
        <w:rPr>
          <w:rFonts w:ascii="Arial" w:cs="Arial" w:eastAsia="Arial" w:hAnsi="Arial"/>
          <w:sz w:val="22"/>
          <w:szCs w:val="22"/>
        </w:rPr>
        <w:t xml:space="preserve">Merchant agreements, user terms, and partnerships are with FanFlow Inc., not PanBuddha. This simplifies legal relationships.</w:t>
      </w:r>
    </w:p>
    <w:p>
      <w:pPr>
        <w:pStyle w:val="ListParagraph"/>
        <w:numPr>
          <w:ilvl w:val="0"/>
          <w:numId w:val="2"/>
        </w:numPr>
        <w:spacing w:after="80"/>
      </w:pPr>
      <w:r>
        <w:rPr>
          <w:rFonts w:ascii="Arial" w:cs="Arial" w:eastAsia="Arial" w:hAnsi="Arial"/>
          <w:b/>
          <w:bCs/>
          <w:sz w:val="22"/>
          <w:szCs w:val="22"/>
        </w:rPr>
        <w:t xml:space="preserve">Future Flexibility: </w:t>
      </w:r>
      <w:r>
        <w:rPr>
          <w:rFonts w:ascii="Arial" w:cs="Arial" w:eastAsia="Arial" w:hAnsi="Arial"/>
          <w:sz w:val="22"/>
          <w:szCs w:val="22"/>
        </w:rPr>
        <w:t xml:space="preserve">Easier to bring in investors, sell the app, or pivot without affecting other PanBuddha properties.</w:t>
      </w:r>
    </w:p>
    <w:p>
      <w:pPr>
        <w:pStyle w:val="ListParagraph"/>
        <w:numPr>
          <w:ilvl w:val="0"/>
          <w:numId w:val="2"/>
        </w:numPr>
        <w:spacing w:after="80"/>
      </w:pPr>
      <w:r>
        <w:rPr>
          <w:rFonts w:ascii="Arial" w:cs="Arial" w:eastAsia="Arial" w:hAnsi="Arial"/>
          <w:b/>
          <w:bCs/>
          <w:sz w:val="22"/>
          <w:szCs w:val="22"/>
        </w:rPr>
        <w:t xml:space="preserve">BC Incorporation: </w:t>
      </w:r>
      <w:r>
        <w:rPr>
          <w:rFonts w:ascii="Arial" w:cs="Arial" w:eastAsia="Arial" w:hAnsi="Arial"/>
          <w:sz w:val="22"/>
          <w:szCs w:val="22"/>
        </w:rPr>
        <w:t xml:space="preserve">BC has no residency requirement for directors, making it flexible and straightforward. Cost is approximately $350–$500 for basic incorporation.</w:t>
      </w:r>
    </w:p>
    <w:p>
      <w:pPr>
        <w:pStyle w:val="Heading2"/>
        <w:spacing w:after="160" w:before="280"/>
      </w:pPr>
      <w:r>
        <w:rPr>
          <w:rFonts w:ascii="Arial" w:cs="Arial" w:eastAsia="Arial" w:hAnsi="Arial"/>
          <w:b/>
          <w:bCs/>
          <w:color w:val="2E75B6"/>
          <w:sz w:val="26"/>
          <w:szCs w:val="26"/>
        </w:rPr>
        <w:t xml:space="preserve">7.2 Maintaining the Corporate Veil</w:t>
      </w:r>
    </w:p>
    <w:p>
      <w:pPr>
        <w:spacing w:after="160" w:line="276"/>
      </w:pPr>
      <w:r>
        <w:rPr>
          <w:rFonts w:ascii="Arial" w:cs="Arial" w:eastAsia="Arial" w:hAnsi="Arial"/>
          <w:color w:val="2A343F"/>
          <w:sz w:val="22"/>
          <w:szCs w:val="22"/>
        </w:rPr>
        <w:t xml:space="preserve">Simply incorporating a subsidiary is not enough. To maintain the liability shield, FanFlow must:</w:t>
      </w:r>
    </w:p>
    <w:p>
      <w:pPr>
        <w:pStyle w:val="ListParagraph"/>
        <w:numPr>
          <w:ilvl w:val="0"/>
          <w:numId w:val="2"/>
        </w:numPr>
        <w:spacing w:after="80"/>
      </w:pPr>
      <w:r>
        <w:rPr>
          <w:rFonts w:ascii="Arial" w:cs="Arial" w:eastAsia="Arial" w:hAnsi="Arial"/>
          <w:sz w:val="22"/>
          <w:szCs w:val="22"/>
        </w:rPr>
        <w:t xml:space="preserve">Maintain separate bank accounts and financial records.</w:t>
      </w:r>
    </w:p>
    <w:p>
      <w:pPr>
        <w:pStyle w:val="ListParagraph"/>
        <w:numPr>
          <w:ilvl w:val="0"/>
          <w:numId w:val="2"/>
        </w:numPr>
        <w:spacing w:after="80"/>
      </w:pPr>
      <w:r>
        <w:rPr>
          <w:rFonts w:ascii="Arial" w:cs="Arial" w:eastAsia="Arial" w:hAnsi="Arial"/>
          <w:sz w:val="22"/>
          <w:szCs w:val="22"/>
        </w:rPr>
        <w:t xml:space="preserve">Hold its own board meetings and maintain corporate minutes.</w:t>
      </w:r>
    </w:p>
    <w:p>
      <w:pPr>
        <w:pStyle w:val="ListParagraph"/>
        <w:numPr>
          <w:ilvl w:val="0"/>
          <w:numId w:val="2"/>
        </w:numPr>
        <w:spacing w:after="80"/>
      </w:pPr>
      <w:r>
        <w:rPr>
          <w:rFonts w:ascii="Arial" w:cs="Arial" w:eastAsia="Arial" w:hAnsi="Arial"/>
          <w:sz w:val="22"/>
          <w:szCs w:val="22"/>
        </w:rPr>
        <w:t xml:space="preserve">Not commingle funds between PanBuddha and FanFlow.</w:t>
      </w:r>
    </w:p>
    <w:p>
      <w:pPr>
        <w:pStyle w:val="ListParagraph"/>
        <w:numPr>
          <w:ilvl w:val="0"/>
          <w:numId w:val="2"/>
        </w:numPr>
        <w:spacing w:after="80"/>
      </w:pPr>
      <w:r>
        <w:rPr>
          <w:rFonts w:ascii="Arial" w:cs="Arial" w:eastAsia="Arial" w:hAnsi="Arial"/>
          <w:sz w:val="22"/>
          <w:szCs w:val="22"/>
        </w:rPr>
        <w:t xml:space="preserve">Enter into formal inter-company agreements for any shared services.</w:t>
      </w:r>
    </w:p>
    <w:p>
      <w:pPr>
        <w:pStyle w:val="Heading2"/>
        <w:spacing w:after="160" w:before="280"/>
      </w:pPr>
      <w:r>
        <w:rPr>
          <w:rFonts w:ascii="Arial" w:cs="Arial" w:eastAsia="Arial" w:hAnsi="Arial"/>
          <w:b/>
          <w:bCs/>
          <w:color w:val="2E75B6"/>
          <w:sz w:val="26"/>
          <w:szCs w:val="26"/>
        </w:rPr>
        <w:t xml:space="preserve">7.3 Insurance</w:t>
      </w:r>
    </w:p>
    <w:p>
      <w:pPr>
        <w:pStyle w:val="ListParagraph"/>
        <w:numPr>
          <w:ilvl w:val="0"/>
          <w:numId w:val="2"/>
        </w:numPr>
        <w:spacing w:after="80"/>
      </w:pPr>
      <w:r>
        <w:rPr>
          <w:rFonts w:ascii="Arial" w:cs="Arial" w:eastAsia="Arial" w:hAnsi="Arial"/>
          <w:b/>
          <w:bCs/>
          <w:sz w:val="22"/>
          <w:szCs w:val="22"/>
        </w:rPr>
        <w:t xml:space="preserve">General Liability Insurance: </w:t>
      </w:r>
      <w:r>
        <w:rPr>
          <w:rFonts w:ascii="Arial" w:cs="Arial" w:eastAsia="Arial" w:hAnsi="Arial"/>
          <w:sz w:val="22"/>
          <w:szCs w:val="22"/>
        </w:rPr>
        <w:t xml:space="preserve">Covers claims from users or merchants for bodily injury or property damage related to platform use.</w:t>
      </w:r>
    </w:p>
    <w:p>
      <w:pPr>
        <w:pStyle w:val="ListParagraph"/>
        <w:numPr>
          <w:ilvl w:val="0"/>
          <w:numId w:val="2"/>
        </w:numPr>
        <w:spacing w:after="80"/>
      </w:pPr>
      <w:r>
        <w:rPr>
          <w:rFonts w:ascii="Arial" w:cs="Arial" w:eastAsia="Arial" w:hAnsi="Arial"/>
          <w:b/>
          <w:bCs/>
          <w:sz w:val="22"/>
          <w:szCs w:val="22"/>
        </w:rPr>
        <w:t xml:space="preserve">Errors &amp; Omissions (E&amp;O) / Professional Liability: </w:t>
      </w:r>
      <w:r>
        <w:rPr>
          <w:rFonts w:ascii="Arial" w:cs="Arial" w:eastAsia="Arial" w:hAnsi="Arial"/>
          <w:sz w:val="22"/>
          <w:szCs w:val="22"/>
        </w:rPr>
        <w:t xml:space="preserve">Covers claims arising from platform errors, omissions, or failure to perform services.</w:t>
      </w:r>
    </w:p>
    <w:p>
      <w:pPr>
        <w:pStyle w:val="ListParagraph"/>
        <w:numPr>
          <w:ilvl w:val="0"/>
          <w:numId w:val="2"/>
        </w:numPr>
        <w:spacing w:after="80"/>
      </w:pPr>
      <w:r>
        <w:rPr>
          <w:rFonts w:ascii="Arial" w:cs="Arial" w:eastAsia="Arial" w:hAnsi="Arial"/>
          <w:b/>
          <w:bCs/>
          <w:sz w:val="22"/>
          <w:szCs w:val="22"/>
        </w:rPr>
        <w:t xml:space="preserve">Cyber Liability Insurance: </w:t>
      </w:r>
      <w:r>
        <w:rPr>
          <w:rFonts w:ascii="Arial" w:cs="Arial" w:eastAsia="Arial" w:hAnsi="Arial"/>
          <w:sz w:val="22"/>
          <w:szCs w:val="22"/>
        </w:rPr>
        <w:t xml:space="preserve">Covers data breaches, particularly important given the location and personal data FanFlow collects.</w:t>
      </w:r>
    </w:p>
    <w:p>
      <w:pPr>
        <w:spacing w:after="120"/>
      </w:pPr>
    </w:p>
    <w:p>
      <w:pPr>
        <w:pStyle w:val="Heading1"/>
        <w:spacing w:after="200" w:before="360"/>
      </w:pPr>
      <w:r>
        <w:rPr>
          <w:rFonts w:ascii="Arial" w:cs="Arial" w:eastAsia="Arial" w:hAnsi="Arial"/>
          <w:b/>
          <w:bCs/>
          <w:color w:val="2A343F"/>
          <w:sz w:val="32"/>
          <w:szCs w:val="32"/>
        </w:rPr>
        <w:t xml:space="preserve">8. Website &amp; Brand Structure</w:t>
      </w:r>
    </w:p>
    <w:p>
      <w:pPr>
        <w:spacing w:after="160" w:line="276"/>
      </w:pPr>
      <w:r>
        <w:rPr>
          <w:rFonts w:ascii="Arial" w:cs="Arial" w:eastAsia="Arial" w:hAnsi="Arial"/>
          <w:color w:val="2A343F"/>
          <w:sz w:val="22"/>
          <w:szCs w:val="22"/>
        </w:rPr>
        <w:t xml:space="preserve">Given the corporate structure recommendation, the website architecture should reflect the legal separation:</w:t>
      </w:r>
    </w:p>
    <w:p>
      <w:pPr>
        <w:spacing w:after="120" w:before="200"/>
      </w:pPr>
      <w:r>
        <w:rPr>
          <w:rFonts w:ascii="Arial" w:cs="Arial" w:eastAsia="Arial" w:hAnsi="Arial"/>
          <w:b/>
          <w:bCs/>
          <w:color w:val="2A343F"/>
          <w:sz w:val="22"/>
          <w:szCs w:val="22"/>
        </w:rPr>
        <w:t xml:space="preserve">PanBuddha.ca (Parent)</w:t>
      </w:r>
    </w:p>
    <w:p>
      <w:pPr>
        <w:pStyle w:val="ListParagraph"/>
        <w:numPr>
          <w:ilvl w:val="0"/>
          <w:numId w:val="2"/>
        </w:numPr>
        <w:spacing w:after="80"/>
      </w:pPr>
      <w:r>
        <w:rPr>
          <w:rFonts w:ascii="Arial" w:cs="Arial" w:eastAsia="Arial" w:hAnsi="Arial"/>
          <w:sz w:val="22"/>
          <w:szCs w:val="22"/>
        </w:rPr>
        <w:t xml:space="preserve">Portfolio site showcasing all PanBuddha ventures.</w:t>
      </w:r>
    </w:p>
    <w:p>
      <w:pPr>
        <w:pStyle w:val="ListParagraph"/>
        <w:numPr>
          <w:ilvl w:val="0"/>
          <w:numId w:val="2"/>
        </w:numPr>
        <w:spacing w:after="80"/>
      </w:pPr>
      <w:r>
        <w:rPr>
          <w:rFonts w:ascii="Arial" w:cs="Arial" w:eastAsia="Arial" w:hAnsi="Arial"/>
          <w:sz w:val="22"/>
          <w:szCs w:val="22"/>
        </w:rPr>
        <w:t xml:space="preserve">Contains company information, about page, and links to individual app sites.</w:t>
      </w:r>
    </w:p>
    <w:p>
      <w:pPr>
        <w:pStyle w:val="ListParagraph"/>
        <w:numPr>
          <w:ilvl w:val="0"/>
          <w:numId w:val="2"/>
        </w:numPr>
        <w:spacing w:after="80"/>
      </w:pPr>
      <w:r>
        <w:rPr>
          <w:rFonts w:ascii="Arial" w:cs="Arial" w:eastAsia="Arial" w:hAnsi="Arial"/>
          <w:sz w:val="22"/>
          <w:szCs w:val="22"/>
        </w:rPr>
        <w:t xml:space="preserve">PanBuddha’s own Terms of Service and Privacy Policy.</w:t>
      </w:r>
    </w:p>
    <w:p>
      <w:pPr>
        <w:spacing w:after="120" w:before="200"/>
      </w:pPr>
      <w:r>
        <w:rPr>
          <w:rFonts w:ascii="Arial" w:cs="Arial" w:eastAsia="Arial" w:hAnsi="Arial"/>
          <w:b/>
          <w:bCs/>
          <w:color w:val="2A343F"/>
          <w:sz w:val="22"/>
          <w:szCs w:val="22"/>
        </w:rPr>
        <w:t xml:space="preserve">FanFlow (Separate Domain)</w:t>
      </w:r>
    </w:p>
    <w:p>
      <w:pPr>
        <w:pStyle w:val="ListParagraph"/>
        <w:numPr>
          <w:ilvl w:val="0"/>
          <w:numId w:val="2"/>
        </w:numPr>
        <w:spacing w:after="80"/>
      </w:pPr>
      <w:r>
        <w:rPr>
          <w:rFonts w:ascii="Arial" w:cs="Arial" w:eastAsia="Arial" w:hAnsi="Arial"/>
          <w:sz w:val="22"/>
          <w:szCs w:val="22"/>
        </w:rPr>
        <w:t xml:space="preserve">Dedicated domain (e.g., fanflow.ca or getfanflow.com) with its own branding.</w:t>
      </w:r>
    </w:p>
    <w:p>
      <w:pPr>
        <w:pStyle w:val="ListParagraph"/>
        <w:numPr>
          <w:ilvl w:val="0"/>
          <w:numId w:val="2"/>
        </w:numPr>
        <w:spacing w:after="80"/>
      </w:pPr>
      <w:r>
        <w:rPr>
          <w:rFonts w:ascii="Arial" w:cs="Arial" w:eastAsia="Arial" w:hAnsi="Arial"/>
          <w:sz w:val="22"/>
          <w:szCs w:val="22"/>
        </w:rPr>
        <w:t xml:space="preserve">FanFlow’s own Terms of Service, Privacy Policy, and Merchant Agreement.</w:t>
      </w:r>
    </w:p>
    <w:p>
      <w:pPr>
        <w:pStyle w:val="ListParagraph"/>
        <w:numPr>
          <w:ilvl w:val="0"/>
          <w:numId w:val="2"/>
        </w:numPr>
        <w:spacing w:after="80"/>
      </w:pPr>
      <w:r>
        <w:rPr>
          <w:rFonts w:ascii="Arial" w:cs="Arial" w:eastAsia="Arial" w:hAnsi="Arial"/>
          <w:sz w:val="22"/>
          <w:szCs w:val="22"/>
        </w:rPr>
        <w:t xml:space="preserve">All legal documents reference FanFlow Inc. (the subsidiary), not PanBuddha.</w:t>
      </w:r>
    </w:p>
    <w:p>
      <w:pPr>
        <w:pStyle w:val="ListParagraph"/>
        <w:numPr>
          <w:ilvl w:val="0"/>
          <w:numId w:val="2"/>
        </w:numPr>
        <w:spacing w:after="80"/>
      </w:pPr>
      <w:r>
        <w:rPr>
          <w:rFonts w:ascii="Arial" w:cs="Arial" w:eastAsia="Arial" w:hAnsi="Arial"/>
          <w:sz w:val="22"/>
          <w:szCs w:val="22"/>
        </w:rPr>
        <w:t xml:space="preserve">“Powered by PanBuddha” footer credit is fine for branding, but legal obligations flow through FanFlow Inc.</w:t>
      </w:r>
    </w:p>
    <w:p>
      <w:pPr>
        <w:spacing w:after="120"/>
      </w:pPr>
    </w:p>
    <w:p>
      <w:pPr>
        <w:pStyle w:val="Heading1"/>
        <w:spacing w:after="200" w:before="360"/>
      </w:pPr>
      <w:r>
        <w:rPr>
          <w:rFonts w:ascii="Arial" w:cs="Arial" w:eastAsia="Arial" w:hAnsi="Arial"/>
          <w:b/>
          <w:bCs/>
          <w:color w:val="2A343F"/>
          <w:sz w:val="32"/>
          <w:szCs w:val="32"/>
        </w:rPr>
        <w:t xml:space="preserve">9. Areas Requiring Legal Counsel</w:t>
      </w:r>
    </w:p>
    <w:p>
      <w:pPr>
        <w:spacing w:after="160" w:line="276"/>
      </w:pPr>
      <w:r>
        <w:rPr>
          <w:rFonts w:ascii="Arial" w:cs="Arial" w:eastAsia="Arial" w:hAnsi="Arial"/>
          <w:color w:val="2A343F"/>
          <w:sz w:val="22"/>
          <w:szCs w:val="22"/>
        </w:rPr>
        <w:t xml:space="preserve">The following areas are flagged as requiring professional legal review. This research brief is not a substitute for qualified legal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Area</w:t>
            </w:r>
          </w:p>
        </w:tc>
        <w:tc>
          <w:tcPr>
            <w:tcW w:type="dxa" w:w="6160"/>
            <w:tcBorders>
              <w:top w:val="single" w:color="CFDAE8" w:sz="1"/>
              <w:left w:val="single" w:color="CFDAE8" w:sz="1"/>
              <w:bottom w:val="single" w:color="CFDAE8" w:sz="1"/>
              <w:right w:val="single" w:color="CFDAE8" w:sz="1"/>
            </w:tcBorders>
            <w:shd w:fill="D5E8F0" w:val="clear"/>
            <w:tcMar>
              <w:top w:type="dxa" w:w="80"/>
              <w:left w:type="dxa" w:w="120"/>
              <w:bottom w:type="dxa" w:w="80"/>
              <w:right w:type="dxa" w:w="120"/>
            </w:tcMar>
          </w:tcPr>
          <w:p>
            <w:r>
              <w:rPr>
                <w:rFonts w:ascii="Arial" w:cs="Arial" w:eastAsia="Arial" w:hAnsi="Arial"/>
                <w:b/>
                <w:bCs/>
                <w:color w:val="2A343F"/>
                <w:sz w:val="20"/>
                <w:szCs w:val="20"/>
              </w:rPr>
              <w:t xml:space="preserve">Why Counsel Is Needed</w:t>
            </w:r>
          </w:p>
        </w:tc>
      </w:tr>
      <w:tr>
        <w:tc>
          <w:tcPr>
            <w:tcW w:type="dxa" w:w="3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Terms of Service drafting</w:t>
            </w:r>
          </w:p>
        </w:tc>
        <w:tc>
          <w:tcPr>
            <w:tcW w:type="dxa" w:w="61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Must be BC-specific, enforceable, and account for 2025–2026 BPCPA amendments</w:t>
            </w:r>
          </w:p>
        </w:tc>
      </w:tr>
      <w:tr>
        <w:tc>
          <w:tcPr>
            <w:tcW w:type="dxa" w:w="3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Merchant Agreement drafting</w:t>
            </w:r>
          </w:p>
        </w:tc>
        <w:tc>
          <w:tcPr>
            <w:tcW w:type="dxa" w:w="61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Indemnification, liability allocation, and Competition Act compliance require legal precision</w:t>
            </w:r>
          </w:p>
        </w:tc>
      </w:tr>
      <w:tr>
        <w:tc>
          <w:tcPr>
            <w:tcW w:type="dxa" w:w="3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Privacy Policy</w:t>
            </w:r>
          </w:p>
        </w:tc>
        <w:tc>
          <w:tcPr>
            <w:tcW w:type="dxa" w:w="61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PIPA compliance, location data handling, cross-border considerations</w:t>
            </w:r>
          </w:p>
        </w:tc>
      </w:tr>
      <w:tr>
        <w:tc>
          <w:tcPr>
            <w:tcW w:type="dxa" w:w="3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CASL compliance audit</w:t>
            </w:r>
          </w:p>
        </w:tc>
        <w:tc>
          <w:tcPr>
            <w:tcW w:type="dxa" w:w="61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Whether push notification exemptions apply to FanFlow’s specific implementation</w:t>
            </w:r>
          </w:p>
        </w:tc>
      </w:tr>
      <w:tr>
        <w:tc>
          <w:tcPr>
            <w:tcW w:type="dxa" w:w="3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Incorporation of FanFlow subsidiary</w:t>
            </w:r>
          </w:p>
        </w:tc>
        <w:tc>
          <w:tcPr>
            <w:tcW w:type="dxa" w:w="61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Corporate governance, shareholder agreements, inter-company service agreements</w:t>
            </w:r>
          </w:p>
        </w:tc>
      </w:tr>
      <w:tr>
        <w:tc>
          <w:tcPr>
            <w:tcW w:type="dxa" w:w="3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Insurance selection</w:t>
            </w:r>
          </w:p>
        </w:tc>
        <w:tc>
          <w:tcPr>
            <w:tcW w:type="dxa" w:w="61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Appropriate coverage types and limits for the specific risk profile</w:t>
            </w:r>
          </w:p>
        </w:tc>
      </w:tr>
      <w:tr>
        <w:tc>
          <w:tcPr>
            <w:tcW w:type="dxa" w:w="320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Gamification/token system</w:t>
            </w:r>
          </w:p>
        </w:tc>
        <w:tc>
          <w:tcPr>
            <w:tcW w:type="dxa" w:w="6160"/>
            <w:tcBorders>
              <w:top w:val="single" w:color="CFDAE8" w:sz="1"/>
              <w:left w:val="single" w:color="CFDAE8" w:sz="1"/>
              <w:bottom w:val="single" w:color="CFDAE8" w:sz="1"/>
              <w:right w:val="single" w:color="CFDAE8" w:sz="1"/>
            </w:tcBorders>
            <w:tcMar>
              <w:top w:type="dxa" w:w="80"/>
              <w:left w:type="dxa" w:w="120"/>
              <w:bottom w:type="dxa" w:w="80"/>
              <w:right w:type="dxa" w:w="120"/>
            </w:tcMar>
          </w:tcPr>
          <w:p>
            <w:pPr>
              <w:spacing w:after="40"/>
            </w:pPr>
            <w:r>
              <w:rPr>
                <w:rFonts w:ascii="Arial" w:cs="Arial" w:eastAsia="Arial" w:hAnsi="Arial"/>
                <w:color w:val="2A343F"/>
                <w:sz w:val="20"/>
                <w:szCs w:val="20"/>
              </w:rPr>
              <w:t xml:space="preserve">Whether coins/tokens create financial instrument obligations or consumer protection issues</w:t>
            </w:r>
          </w:p>
        </w:tc>
      </w:tr>
    </w:tbl>
    <w:p>
      <w:pPr>
        <w:spacing w:after="120"/>
      </w:pPr>
    </w:p>
    <w:p>
      <w:pPr>
        <w:pBdr>
          <w:bottom w:val="single" w:color="2E75B6" w:sz="6" w:space="1"/>
        </w:pBdr>
        <w:spacing w:after="200"/>
      </w:pPr>
    </w:p>
    <w:p>
      <w:pPr>
        <w:spacing w:after="160" w:line="276"/>
      </w:pPr>
      <w:r>
        <w:rPr>
          <w:rFonts w:ascii="Arial" w:cs="Arial" w:eastAsia="Arial" w:hAnsi="Arial"/>
          <w:i/>
          <w:iCs/>
          <w:color w:val="71859A"/>
          <w:sz w:val="22"/>
          <w:szCs w:val="22"/>
        </w:rPr>
        <w:t xml:space="preserve">This document was compiled from publicly available legal information, government sources, and law firm commentary. It is intended as a research starting point for consultation with a qualified Canadian lawyer specializing in technology law and consumer protection. It does not constitute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59A"/>
        <w:sz w:val="16"/>
        <w:szCs w:val="16"/>
      </w:rPr>
      <w:t xml:space="preserve">Page </w:t>
    </w:r>
    <w:r>
      <w:rPr>
        <w:rFonts w:ascii="Arial" w:cs="Arial" w:eastAsia="Arial" w:hAnsi="Arial"/>
        <w:color w:val="7185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71859A"/>
        <w:sz w:val="16"/>
        <w:szCs w:val="16"/>
      </w:rPr>
      <w:t xml:space="preserve">FanFlow Legal Risk Analysis</w:t>
    </w:r>
    <w:r>
      <w:rPr>
        <w:rFonts w:ascii="Arial" w:cs="Arial" w:eastAsia="Arial" w:hAnsi="Arial"/>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2026-03-21T14:21:26.204Z</dcterms:created>
  <dcterms:modified xsi:type="dcterms:W3CDTF">2026-03-21T14:21:26.205Z</dcterms:modified>
</cp:coreProperties>
</file>

<file path=docProps/custom.xml><?xml version="1.0" encoding="utf-8"?>
<Properties xmlns="http://schemas.openxmlformats.org/officeDocument/2006/custom-properties" xmlns:vt="http://schemas.openxmlformats.org/officeDocument/2006/docPropsVTypes"/>
</file>