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Comparaison KRG pur vs GEK pur — DOE fixé n0=15, F=0.210 MN</w:t>
      </w:r>
    </w:p>
    <w:p>
      <w:r>
        <w:rPr>
          <w:b/>
        </w:rPr>
        <w:t xml:space="preserve">Date : </w:t>
      </w:r>
      <w:r>
        <w:t>23 avril 2026</w:t>
      </w:r>
    </w:p>
    <w:p>
      <w:r>
        <w:rPr>
          <w:b/>
        </w:rPr>
        <w:t xml:space="preserve">Configuration commune : </w:t>
      </w:r>
      <w:r>
        <w:t>n0=15, DOE fixé (U-space), F=0.210 MN, solver AbdoRackwitz</w:t>
      </w:r>
    </w:p>
    <w:p>
      <w:r>
        <w:rPr>
          <w:b/>
        </w:rPr>
        <w:t xml:space="preserve">Référence HF : </w:t>
      </w:r>
      <w:r>
        <w:t>β=3.784, Pf=7.73e-05, u*=[-0.526, -3.747], n_iter=21</w:t>
      </w:r>
    </w:p>
    <w:p/>
    <w:p>
      <w:pPr>
        <w:pStyle w:val="Heading2"/>
      </w:pPr>
      <w:r>
        <w:t>DOE fixé utilisé (n0=15, U-space)</w:t>
      </w:r>
    </w:p>
    <w:p>
      <w:pPr>
        <w:pStyle w:val="NoSpacing"/>
      </w:pPr>
      <w:r>
        <w:rPr>
          <w:rFonts w:ascii="Courier New" w:hAnsi="Courier New"/>
          <w:sz w:val="16"/>
        </w:rPr>
        <w:t>U_doe_fixed = ot.Sample([</w:t>
        <w:br/>
        <w:t xml:space="preserve">    [ 1.0272625484832025,  0.3251235065050853],</w:t>
        <w:br/>
        <w:t xml:space="preserve">    [ 0.2588934150948534, -1.6856336900013655],</w:t>
        <w:br/>
        <w:t xml:space="preserve">    [-0.7900915845657982,  1.8047217395005692],</w:t>
        <w:br/>
        <w:t xml:space="preserve">    [-0.0301755082064849,  1.3223984111477798],</w:t>
        <w:br/>
        <w:t xml:space="preserve">    [-1.8073810055112547, -1.1012751718677385],</w:t>
        <w:br/>
        <w:t xml:space="preserve">    [-0.2377471223963969, -0.4914312425631510],</w:t>
        <w:br/>
        <w:t xml:space="preserve">    [ 0.7216266145109314,  1.0830320538875535],</w:t>
        <w:br/>
        <w:t xml:space="preserve">    [ 0.4776729449462016, -0.2656508781535193],</w:t>
        <w:br/>
        <w:t xml:space="preserve">    [-0.8730465106774573,  0.6497494474356423],</w:t>
        <w:br/>
        <w:t xml:space="preserve">    [-1.1677174906609287,  0.0310652111349381],</w:t>
        <w:br/>
        <w:t xml:space="preserve">    [ 1.1194425579629474, -0.7943643305093363],</w:t>
        <w:br/>
        <w:t xml:space="preserve">    [ 0.1857520921586401,  0.4724170659386679],</w:t>
        <w:br/>
        <w:t xml:space="preserve">    [-0.5669380193636159, -1.4858232340964800],</w:t>
        <w:br/>
        <w:t xml:space="preserve">    [ 2.9454553139272623, -0.1582987245612891],</w:t>
        <w:br/>
        <w:t xml:space="preserve">    [-0.2947626989079067,  0.1355018527305618],</w:t>
        <w:br/>
        <w:t>])</w:t>
      </w:r>
    </w:p>
    <w:p/>
    <w:p>
      <w:pPr>
        <w:pStyle w:val="Heading2"/>
      </w:pPr>
      <w:r>
        <w:t>Partie 1 — Résultats détaillés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Paramètre</w:t>
            </w:r>
          </w:p>
        </w:tc>
        <w:tc>
          <w:tcPr>
            <w:tcW w:type="dxa" w:w="2493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HF (référence)</w:t>
            </w:r>
          </w:p>
        </w:tc>
        <w:tc>
          <w:tcPr>
            <w:tcW w:type="dxa" w:w="2493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KRG pur</w:t>
            </w:r>
          </w:p>
        </w:tc>
        <w:tc>
          <w:tcPr>
            <w:tcW w:type="dxa" w:w="2493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GEK pur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n points DOE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15 (fixé)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15 (fixé)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n iter FORM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n_appels HF (FORM)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fc* (MPa)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26.7006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30.9316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fy* (MPa)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474.9796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548.7802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u*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[-0.526, -3.747]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[-1.767, -4.755]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[-0.372, -2.307]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dg/du_fc en u*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0.004850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0.006877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dg/du_fy en u*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0.002416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0.041592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Importance fc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12.13%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2.53%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Importance fy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87.87%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97.47%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β (FORM)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3.784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5.072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2.337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Pf (FORM)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7.73e-05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1.96e-07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9.73e-03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g_meta(u*)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~0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+8.7e-05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+0.0606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g_HF(u*)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~0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-4.98e-02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+0.0608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Erreur relative g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100.2%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0.32%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u* FOSM (depuis u=0)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[-0.643, -3.728]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[-0.643, -3.728]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Erreur FOSM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30.00%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61.93%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Ecart β vs HF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+1.288 (+34.0%)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-1.447 (-38.2%)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do_warm_start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False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False</w:t>
            </w:r>
          </w:p>
        </w:tc>
      </w:tr>
    </w:tbl>
    <w:p/>
    <w:p>
      <w:pPr>
        <w:pStyle w:val="Heading2"/>
      </w:pPr>
      <w:r>
        <w:t>Partie 2 — Bilan de comparaison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493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HF</w:t>
            </w:r>
          </w:p>
        </w:tc>
        <w:tc>
          <w:tcPr>
            <w:tcW w:type="dxa" w:w="2493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KRG pur</w:t>
            </w:r>
          </w:p>
        </w:tc>
        <w:tc>
          <w:tcPr>
            <w:tcW w:type="dxa" w:w="2493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GEK pur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β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3.784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5.072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2.337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Erreur β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+34.0%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-38.2%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u*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[-0.53, -3.75]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[-1.77, -4.75]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[-0.37, -2.31]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g_meta(u*)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~0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+8.7e-05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+0.0606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g_HF(u*)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~0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-4.98e-02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+0.0608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Erreur locale g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100.2%</w:t>
            </w:r>
          </w:p>
        </w:tc>
        <w:tc>
          <w:tcPr>
            <w:tcW w:type="dxa" w:w="2493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0.32%</w:t>
            </w:r>
          </w:p>
        </w:tc>
      </w:tr>
    </w:tbl>
    <w:p/>
    <w:p>
      <w:r>
        <w:rPr>
          <w:b/>
        </w:rPr>
        <w:t xml:space="preserve">Conclusion : </w:t>
      </w:r>
      <w:r>
        <w:t>Sur ce DOE fixé n0=15, KRG pur surestime β (+34%) et GEK pur le sous-estime (-38%). KRG converge sur sa surface g=0 (g_meta=8.7e-05) mais la surface est mal placée (g_HF=-0.050, erreur 100%). GEK pur ne converge pas non plus sur sa surface (g_meta=+0.061) — FORM s'est arrêté à un point non-défaillant. Paradoxalement, GEK est localement précis en u* (erreur 0.32%) mais le métamodèle est mal conditionné globalement avec n0=15. L'activation du warm start pour GEK et l'ajout de GEPCK (GEK+PCE) sont les prochaines étapes.</w:t>
      </w:r>
    </w:p>
    <w:p/>
    <w:p>
      <w:pPr>
        <w:pStyle w:val="Heading2"/>
      </w:pPr>
      <w:r>
        <w:t>Partie 3 — Surfaces limites (g_HF=0 et g_GP=0)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KRG pur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GEK pur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295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tat_limite_KR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29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295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tat_limite_KR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29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