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BUY-BACK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BUY-BACK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Companies Act provisions and SEBI Buy-back Regulations.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Approval / recommendation of buy-back proposal of up to ₹[●].</w:t>
      </w:r>
    </w:p>
    <w:p>
      <w:pPr>
        <w:spacing w:after="160"/>
      </w:pPr>
      <w:r>
        <w:t>• Approval of draft documents and authorisations, subject to applicable approvals.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Maximum buy-back size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Maximum number of securities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Buy-back price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Method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[Tender / other]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Funding source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