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INVESTMENT / ACQUISITION APPROVAL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INVESTMENT / ACQUISITION APPROVAL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179, 186 and other applicable provisions; applicable Rules; Articles; FEMA / SEBI where relevant.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proposed investment of ₹[●] in [TARGET / SECURITY], including valuation, strategic rationale, funding source, limits under Section 186 and any regulatory approvals.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Investment proposal / term sheet</w:t>
      </w:r>
    </w:p>
    <w:p>
      <w:pPr>
        <w:pStyle w:val="ListBullet"/>
        <w:spacing w:after="100"/>
      </w:pPr>
      <w:r>
        <w:t>Valuation / diligence report</w:t>
      </w:r>
    </w:p>
    <w:p>
      <w:pPr>
        <w:pStyle w:val="ListBullet"/>
        <w:spacing w:after="100"/>
      </w:pPr>
      <w:r>
        <w:t>Section 186 limits and approvals</w:t>
      </w:r>
    </w:p>
    <w:p>
      <w:pPr>
        <w:pStyle w:val="ListBullet"/>
        <w:spacing w:after="100"/>
      </w:pPr>
      <w:r>
        <w:t>Source of funds</w:t>
      </w:r>
    </w:p>
    <w:p>
      <w:pPr>
        <w:pStyle w:val="ListBullet"/>
        <w:spacing w:after="100"/>
      </w:pPr>
      <w:r>
        <w:t>FEMA / SEBI analysis, if applicable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approval be and is hereby accorded to make an investment of up to ₹[●] in [TARGET / SECURITY] on the terms placed before the Board, subject to applicable law and completion of all conditions precedent.</w:t>
      </w:r>
    </w:p>
    <w:p>
      <w:pPr>
        <w:spacing w:after="160"/>
      </w:pPr>
      <w:r>
        <w:rPr>
          <w:b/>
        </w:rPr>
        <w:t>RESOLVED FURTHER THAT [NAME] be authorised to negotiate and execute definitive documents and make filings / disclosures required by law.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Complete due diligence / conditions precedent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Management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closing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Obtain shareholder approval, if required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transaction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Make statutory / regulatory filings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Applicable timeline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