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ESOP / EMPLOYEE BENEFIT GRANT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ESOP / EMPLOYEE BENEFIT GRANT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 62(1)(b) and other applicable provisions; Rules; approved ESOP scheme; SEBI SBEBSE Regulations where applicable.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Board considered the grant of options under the approved ESOP scheme, including eligibility, number of options, exercise price, vesting and performance conditions.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Approved ESOP scheme</w:t>
      </w:r>
    </w:p>
    <w:p>
      <w:pPr>
        <w:pStyle w:val="ListBullet"/>
        <w:spacing w:after="100"/>
      </w:pPr>
      <w:r>
        <w:t>Grant list</w:t>
      </w:r>
    </w:p>
    <w:p>
      <w:pPr>
        <w:pStyle w:val="ListBullet"/>
        <w:spacing w:after="100"/>
      </w:pPr>
      <w:r>
        <w:t>Valuation / pricing basis</w:t>
      </w:r>
    </w:p>
    <w:p>
      <w:pPr>
        <w:pStyle w:val="ListBullet"/>
        <w:spacing w:after="100"/>
      </w:pPr>
      <w:r>
        <w:t>Compensation / NRC recommendation</w:t>
      </w:r>
    </w:p>
    <w:p>
      <w:pPr>
        <w:pStyle w:val="ListBullet"/>
        <w:spacing w:after="100"/>
      </w:pPr>
      <w:r>
        <w:t>Disclosure and accounting note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[NUMBER] options be and are hereby granted to the eligible employees / directors listed in Annexure A on the terms of the ESOP Scheme and grant letters.</w:t>
      </w:r>
    </w:p>
    <w:p>
      <w:pPr>
        <w:spacing w:after="160"/>
      </w:pPr>
      <w:r>
        <w:rPr>
          <w:b/>
        </w:rPr>
        <w:t>RESOLVED FURTHER THAT [NAME] be authorised to issue grant letters, maintain the option register and complete all disclosures and filings.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Issue grant letters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HR / CS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[DATE]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Update ESOP records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CS / RTA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Post grant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Make disclosure / filing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As applicable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