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aps/>
          <w:color w:val="9A7B2E"/>
          <w:spacing w:val="30"/>
          <w:sz w:val="20"/>
          <w:szCs w:val="20"/>
        </w:rPr>
        <w:t xml:space="preserve">Compliance reference</w:t>
      </w:r>
    </w:p>
    <w:p>
      <w:pPr>
        <w:spacing w:after="40"/>
      </w:pPr>
      <w:r>
        <w:rPr>
          <w:b/>
          <w:bCs/>
          <w:color w:val="1A1A1A"/>
          <w:sz w:val="30"/>
          <w:szCs w:val="30"/>
        </w:rPr>
        <w:t xml:space="preserve">Claims &amp; wording checklist — pre-authorisation</w:t>
      </w:r>
    </w:p>
    <w:p>
      <w:pPr>
        <w:spacing w:after="120"/>
      </w:pPr>
      <w:r>
        <w:rPr>
          <w:color w:val="555555"/>
          <w:sz w:val="19"/>
          <w:szCs w:val="19"/>
        </w:rPr>
        <w:t xml:space="preserve">Prepared 20 August 2026  ·  Derived from your brand draft + FCA/FSCS rules  ·  Not legal advice</w:t>
      </w:r>
    </w:p>
    <w:p>
      <w:pPr>
        <w:pBdr>
          <w:bottom w:val="single" w:color="DDDDDD" w:sz="6" w:space="1"/>
        </w:pBdr>
        <w:spacing w:after="120" w:before="120"/>
      </w:pPr>
      <w:r>
        <w:t xml:space="preserve"/>
      </w:r>
    </w:p>
    <w:p>
      <w:pPr>
        <w:spacing w:after="100"/>
      </w:pPr>
      <w:r>
        <w:rPr>
          <w:b/>
          <w:bCs/>
          <w:color w:val="1A1A1A"/>
          <w:sz w:val="21"/>
          <w:szCs w:val="21"/>
        </w:rPr>
        <w:t xml:space="preserve">Purpose: </w:t>
      </w:r>
      <w:r>
        <w:rPr>
          <w:color w:val="1A1A1A"/>
          <w:sz w:val="21"/>
          <w:szCs w:val="21"/>
        </w:rPr>
        <w:t xml:space="preserve">a working guardrail for anyone writing public-facing copy (website, ads, decks, social, support replies) before City Gate Capital holds the relevant authorisations. When in doubt, use the “say instead” column and flag for legal review.</w:t>
      </w:r>
    </w:p>
    <w:p>
      <w:pPr>
        <w:pBdr>
          <w:bottom w:val="single" w:color="DDDDDD" w:sz="6" w:space="1"/>
        </w:pBdr>
        <w:spacing w:after="120" w:before="120"/>
      </w:pPr>
      <w:r>
        <w:t xml:space="preserve"/>
      </w:r>
    </w:p>
    <w:p>
      <w:pPr>
        <w:pStyle w:val="Heading1"/>
        <w:spacing w:after="100" w:before="260"/>
      </w:pPr>
      <w:r>
        <w:rPr>
          <w:b/>
          <w:bCs/>
          <w:color w:val="1A1A1A"/>
          <w:sz w:val="26"/>
          <w:szCs w:val="26"/>
        </w:rPr>
        <w:t xml:space="preserve">Do not say  →  Say instead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A1A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Avoid (until authorised &amp; approved)</w:t>
            </w:r>
          </w:p>
        </w:tc>
        <w:tc>
          <w:tcPr>
            <w:tcW w:type="dxa" w:w="4680"/>
            <w:shd w:fill="1A1A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 instead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21"/>
                <w:szCs w:val="21"/>
              </w:rPr>
              <w:t xml:space="preserve">“Bank”, “banking”, “we are a bank”</w:t>
            </w:r>
          </w:p>
        </w:tc>
        <w:tc>
          <w:tcPr>
            <w:tcW w:type="dxa" w:w="468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21"/>
                <w:szCs w:val="21"/>
              </w:rPr>
              <w:t xml:space="preserve">“Financial-technology platform”, “digital money platform”</w:t>
            </w:r>
          </w:p>
        </w:tc>
      </w:tr>
      <w:tr>
        <w:tc>
          <w:tcPr>
            <w:tcW w:type="dxa" w:w="4680"/>
            <w:shd w:fill="F5F2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21"/>
                <w:szCs w:val="21"/>
              </w:rPr>
              <w:t xml:space="preserve">“Deposit”, “deposit account”, “savings”</w:t>
            </w:r>
          </w:p>
        </w:tc>
        <w:tc>
          <w:tcPr>
            <w:tcW w:type="dxa" w:w="4680"/>
            <w:shd w:fill="F5F2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21"/>
                <w:szCs w:val="21"/>
              </w:rPr>
              <w:t xml:space="preserve">“Balance”, “top up”, “add funds” (only once a real funds flow exists and is approved)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21"/>
                <w:szCs w:val="21"/>
              </w:rPr>
              <w:t xml:space="preserve">“FSCS protected”, “insured”, “guaranteed”</w:t>
            </w:r>
          </w:p>
        </w:tc>
        <w:tc>
          <w:tcPr>
            <w:tcW w:type="dxa" w:w="468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21"/>
                <w:szCs w:val="21"/>
              </w:rPr>
              <w:t xml:space="preserve">Name the actual legal arrangement and responsible authorised institution once one exists; otherwise say nothing about protection</w:t>
            </w:r>
          </w:p>
        </w:tc>
      </w:tr>
      <w:tr>
        <w:tc>
          <w:tcPr>
            <w:tcW w:type="dxa" w:w="4680"/>
            <w:shd w:fill="F5F2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21"/>
                <w:szCs w:val="21"/>
              </w:rPr>
              <w:t xml:space="preserve">“Authorised”, “regulated”, “licensed”</w:t>
            </w:r>
          </w:p>
        </w:tc>
        <w:tc>
          <w:tcPr>
            <w:tcW w:type="dxa" w:w="4680"/>
            <w:shd w:fill="F5F2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21"/>
                <w:szCs w:val="21"/>
              </w:rPr>
              <w:t xml:space="preserve">“Pursuing a partnership-led route toward a UK launch”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21"/>
                <w:szCs w:val="21"/>
              </w:rPr>
              <w:t xml:space="preserve">Showing simulated balances/transactions as real</w:t>
            </w:r>
          </w:p>
        </w:tc>
        <w:tc>
          <w:tcPr>
            <w:tcW w:type="dxa" w:w="468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21"/>
                <w:szCs w:val="21"/>
              </w:rPr>
              <w:t xml:space="preserve">Label clearly: “Simulated data — not real money”</w:t>
            </w:r>
          </w:p>
        </w:tc>
      </w:tr>
      <w:tr>
        <w:tc>
          <w:tcPr>
            <w:tcW w:type="dxa" w:w="4680"/>
            <w:shd w:fill="F5F2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21"/>
                <w:szCs w:val="21"/>
              </w:rPr>
              <w:t xml:space="preserve">“Guaranteed returns”, “beat inflation”, “inflation-proof”</w:t>
            </w:r>
          </w:p>
        </w:tc>
        <w:tc>
          <w:tcPr>
            <w:tcW w:type="dxa" w:w="4680"/>
            <w:shd w:fill="F5F2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21"/>
                <w:szCs w:val="21"/>
              </w:rPr>
              <w:t xml:space="preserve">“Tools to help you see and organise your money” (no forecasts, no advice)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21"/>
                <w:szCs w:val="21"/>
              </w:rPr>
              <w:t xml:space="preserve">“Your money is safe with us”</w:t>
            </w:r>
          </w:p>
        </w:tc>
        <w:tc>
          <w:tcPr>
            <w:tcW w:type="dxa" w:w="468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21"/>
                <w:szCs w:val="21"/>
              </w:rPr>
              <w:t xml:space="preserve">“We explain exactly what applies to your money and who is responsible for it”</w:t>
            </w:r>
          </w:p>
        </w:tc>
      </w:tr>
    </w:tbl>
    <w:p>
      <w:pPr>
        <w:pBdr>
          <w:bottom w:val="single" w:color="DDDDDD" w:sz="6" w:space="1"/>
        </w:pBdr>
        <w:spacing w:after="120" w:before="120"/>
      </w:pPr>
      <w:r>
        <w:t xml:space="preserve"/>
      </w:r>
    </w:p>
    <w:p>
      <w:pPr>
        <w:pStyle w:val="Heading1"/>
        <w:spacing w:after="100" w:before="260"/>
      </w:pPr>
      <w:r>
        <w:rPr>
          <w:b/>
          <w:bCs/>
          <w:color w:val="1A1A1A"/>
          <w:sz w:val="26"/>
          <w:szCs w:val="26"/>
        </w:rPr>
        <w:t xml:space="preserve">Required disclosures (must appear)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 xml:space="preserve">A visible status line stating City Gate Capital is a technology platform, not an authorised bank, and does not accept deposits or hold customer funds.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 xml:space="preserve">On any screen showing figures pre-launch: a clear “simulated / not real money” label.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 xml:space="preserve">Correct legal identity in the footer: Citygate Capital Limited, registered in England and Wales, no. 11575573.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 xml:space="preserve">For any inflation content: the official measure, source and date; and a note that the national rate may not match a person's own costs. Nothing framed as personalised financial advice.</w:t>
      </w:r>
    </w:p>
    <w:p>
      <w:pPr>
        <w:pBdr>
          <w:bottom w:val="single" w:color="DDDDDD" w:sz="6" w:space="1"/>
        </w:pBdr>
        <w:spacing w:after="120" w:before="120"/>
      </w:pPr>
      <w:r>
        <w:t xml:space="preserve"/>
      </w:r>
    </w:p>
    <w:p>
      <w:pPr>
        <w:pStyle w:val="Heading1"/>
        <w:spacing w:after="100" w:before="260"/>
      </w:pPr>
      <w:r>
        <w:rPr>
          <w:b/>
          <w:bCs/>
          <w:color w:val="1A1A1A"/>
          <w:sz w:val="26"/>
          <w:szCs w:val="26"/>
        </w:rPr>
        <w:t xml:space="preserve">Inflation-wording standard</w:t>
      </w:r>
    </w:p>
    <w:p>
      <w:pPr>
        <w:spacing w:after="100"/>
      </w:pPr>
      <w:r>
        <w:rPr>
          <w:color w:val="1A1A1A"/>
          <w:sz w:val="21"/>
          <w:szCs w:val="21"/>
        </w:rPr>
        <w:t xml:space="preserve">“Inflation slowed” means the measured annual rate of price increase fell — not that prices fell, and it may not match personal costs. </w:t>
      </w:r>
      <w:r>
        <w:rPr>
          <w:b/>
          <w:bCs/>
          <w:color w:val="8B2E2E"/>
          <w:sz w:val="21"/>
          <w:szCs w:val="21"/>
        </w:rPr>
        <w:t xml:space="preserve">Current fact (20 Aug 2026): UK CPI rose to 2.9% for July 2026, so do not state inflation is falling.</w:t>
      </w:r>
    </w:p>
    <w:p>
      <w:pPr>
        <w:pBdr>
          <w:bottom w:val="single" w:color="DDDDDD" w:sz="6" w:space="1"/>
        </w:pBdr>
        <w:spacing w:after="120" w:before="120"/>
      </w:pPr>
      <w:r>
        <w:t xml:space="preserve"/>
      </w:r>
    </w:p>
    <w:p>
      <w:pPr>
        <w:pStyle w:val="Heading1"/>
        <w:spacing w:after="100" w:before="260"/>
      </w:pPr>
      <w:r>
        <w:rPr>
          <w:b/>
          <w:bCs/>
          <w:color w:val="1A1A1A"/>
          <w:sz w:val="26"/>
          <w:szCs w:val="26"/>
        </w:rPr>
        <w:t xml:space="preserve">Pre-publication sign-off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 xml:space="preserve">No prohibited terms used (checked against the table above).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 xml:space="preserve">All dated figures (CPI, Bank Rate, FSCS limit) re-verified against source that day.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 xml:space="preserve">Status disclosure + legal footer present.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 xml:space="preserve">Any figures shown are labelled simulated, or are real and approved by the sponsor/ledger.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 xml:space="preserve">Claim-sensitive wording reviewed by UK financial-services counsel and the chosen sponsor.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 xml:space="preserve">Ilkley vs Manchester framing consistent with registered facts.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City Gate Capital</dc:creator>
  <cp:lastModifiedBy>Un-named</cp:lastModifiedBy>
  <cp:revision>1</cp:revision>
  <dcterms:created xsi:type="dcterms:W3CDTF">2026-08-20T02:44:09.675Z</dcterms:created>
  <dcterms:modified xsi:type="dcterms:W3CDTF">2026-08-20T02:44:09.675Z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