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B5B5B"/>
          <w:sz w:val="26"/>
          <w:szCs w:val="26"/>
        </w:rPr>
        <w:t xml:space="preserve">PREREQUISITES FOR A</w:t>
      </w:r>
    </w:p>
    <w:p>
      <w:pPr>
        <w:jc w:val="center"/>
      </w:pPr>
      <w:r>
        <w:rPr>
          <w:b/>
          <w:bCs/>
          <w:color w:val="9C7A2E"/>
          <w:sz w:val="48"/>
          <w:szCs w:val="48"/>
        </w:rPr>
        <w:t xml:space="preserve">FULL BANKING SYSTEM</w:t>
      </w:r>
    </w:p>
    <w:p>
      <w:pPr>
        <w:spacing w:after="600" w:before="200"/>
        <w:jc w:val="center"/>
      </w:pPr>
      <w:r>
        <w:rPr>
          <w:color w:val="1A1A1A"/>
          <w:sz w:val="24"/>
          <w:szCs w:val="24"/>
        </w:rPr>
        <w:t xml:space="preserve">City Gate Capital — Roadmap from Demo to Regulated Platform</w:t>
      </w:r>
    </w:p>
    <w:p>
      <w:pPr>
        <w:jc w:val="center"/>
      </w:pPr>
      <w:r>
        <w:rPr>
          <w:color w:val="5B5B5B"/>
          <w:sz w:val="20"/>
          <w:szCs w:val="20"/>
        </w:rPr>
        <w:t xml:space="preserve">Prepared July 3, 2026</w:t>
      </w:r>
    </w:p>
    <w:p>
      <w:r>
        <w:br w:type="page"/>
      </w:r>
    </w:p>
    <w:p>
      <w:pPr>
        <w:pStyle w:val="Heading1"/>
      </w:pPr>
      <w:r>
        <w:t xml:space="preserve">1. Purpose &amp; Current State</w:t>
      </w:r>
    </w:p>
    <w:p>
      <w:pPr>
        <w:spacing w:after="160"/>
      </w:pPr>
      <w:r>
        <w:t xml:space="preserve">This document lays out what is actually required — legally, operationally, and technically — to take City Gate Capital from its current pre-launch demo state to a platform that can lawfully hold and move real customer money. It is written for a technical/product owner; the legal and licensing track is flagged wherever it is a hard dependency, but is not itself legal advice.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BEAEA" w:val="clear"/>
            <w:tcMar>
              <w:top w:type="dxa" w:w="160"/>
              <w:left w:type="dxa" w:w="200"/>
              <w:bottom w:type="dxa" w:w="160"/>
              <w:right w:type="dxa" w:w="200"/>
            </w:tcMar>
          </w:tcPr>
          <w:p>
            <w:pPr>
              <w:spacing w:after="80"/>
            </w:pPr>
            <w:r>
              <w:rPr>
                <w:b/>
                <w:bCs/>
                <w:sz w:val="22"/>
                <w:szCs w:val="22"/>
              </w:rPr>
              <w:t xml:space="preserve">Where the platform stands today</w:t>
            </w:r>
          </w:p>
          <w:p>
            <w:r>
              <w:rPr>
                <w:sz w:val="20"/>
                <w:szCs w:val="20"/>
              </w:rPr>
              <w:t xml:space="preserve">A code and content audit of the current build found: no real ledger (balances are set directly by an admin action with no settlement or reconciliation), no real KYC/identity verification (kycStatus is a label with no document or ID check behind it), no real crypto custody (wallet addresses are empty admin-entered fields), and one admin screen (admin/crypto.tsx) still showing hardcoded fake balances despite the project's own audit report claiming all mock data had been removed. The user record schema also collects real bank account numbers, routing numbers, SWIFT, and IBAN directly from customers, which — combined with the arbitrary balance control — is the same pattern used by investment-fraud sites. None of this is a problem for a pre-launch demo used internally or with disclosed test users. It becomes a serious legal and ethical problem the moment real members of the public can create accounts, submit real ID documents, or see a balance that isn't backed by real funds. Recommendation: keep the current deployment access-gated (password wall, allow-list, or offline) until Phase 1–3 below are substantially complete.</w:t>
            </w:r>
          </w:p>
        </w:tc>
      </w:tr>
    </w:tbl>
    <w:p>
      <w:pPr>
        <w:pStyle w:val="Heading1"/>
      </w:pPr>
      <w:r>
        <w:t xml:space="preserve">2. The Regulatory Reality (why this isn't just an engineering project)</w:t>
      </w:r>
    </w:p>
    <w:p>
      <w:pPr>
        <w:spacing w:after="160"/>
      </w:pPr>
      <w:r>
        <w:t xml:space="preserve">Banking is one of the most heavily regulated industries in the US. There is no path to holding customer funds, issuing accounts, or moving money that doesn't run through one of two structures:</w:t>
      </w:r>
    </w:p>
    <w:p>
      <w:pPr>
        <w:pStyle w:val="ListParagraph"/>
        <w:numPr>
          <w:ilvl w:val="0"/>
          <w:numId w:val="2"/>
        </w:numPr>
        <w:spacing w:after="80"/>
      </w:pPr>
      <w:r>
        <w:t xml:space="preserve">Bank charter — becoming a chartered bank yourself. Extremely capital-intensive (typically $20M+ in initial capital), multi-year process, direct OCC/FDIC/state supervision. Realistic only for a well-funded, dedicated banking venture.</w:t>
      </w:r>
    </w:p>
    <w:p>
      <w:pPr>
        <w:pStyle w:val="ListParagraph"/>
        <w:numPr>
          <w:ilvl w:val="0"/>
          <w:numId w:val="2"/>
        </w:numPr>
        <w:spacing w:after="80"/>
      </w:pPr>
      <w:r>
        <w:t xml:space="preserve">Banking-as-a-Service (BaaS) partnership — partnering with an existing chartered/sponsor bank that holds the actual funds and the banking license, while your product provides the front-end experience via API. This is the path essentially every fintech/neobank (Cash App, Chime, etc.) takes. Faster (months, not years) and far less capital-intensive, but you still inherit the sponsor bank's compliance requirements.</w:t>
      </w:r>
    </w:p>
    <w:p>
      <w:pPr>
        <w:spacing w:after="160"/>
      </w:pPr>
      <w:r>
        <w:t xml:space="preserve">Separately, if the platform ever holds or transmits funds on its own behalf between parties (not just as a BaaS front-end), it may also need Money Services Business (MSB) registration with FinCEN and money transmitter licenses in every state served — 47 states plus DC require this, and the average cost is $500K–$2M and 12–18 months for multi-state coverage. A BaaS partnership with a sponsor bank typically avoids this by having the sponsor bank as the licensed money-mover of record — confirm this explicitly in any BaaS contract.</w:t>
      </w:r>
    </w:p>
    <w:p>
      <w:pPr>
        <w:spacing w:after="160"/>
      </w:pPr>
      <w:r>
        <w:t xml:space="preserve">Bottom line: before writing another line of banking feature code, the business needs a decision — and ideally signed paperwork — on which of these two structures it's pursuing, made with an attorney who specializes in fintech/banking regulation. Everything below assumes the BaaS path, since it's the realistic route for a platform at this stage.</w:t>
      </w:r>
    </w:p>
    <w:p>
      <w:pPr>
        <w:pStyle w:val="Heading1"/>
      </w:pPr>
      <w:r>
        <w:t xml:space="preserve">3. BaaS Provider Landscape (2026)</w:t>
      </w:r>
    </w:p>
    <w:p>
      <w:pPr>
        <w:spacing w:after="160"/>
      </w:pPr>
      <w:r>
        <w:t xml:space="preserve">A partial, non-exhaustive list of established providers to evaluate. Selection should weigh: sponsor bank relationships offered, supported rails (ACH, wire, card issuing, RTP/FedNow), compliance tooling included vs. self-built, and pricing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b/>
                <w:bCs/>
                <w:color w:val="FFFFFF"/>
                <w:sz w:val="19"/>
                <w:szCs w:val="19"/>
              </w:rPr>
              <w:t xml:space="preserve">Provider</w:t>
            </w:r>
          </w:p>
        </w:tc>
        <w:tc>
          <w:tcPr>
            <w:tcW w:type="dxa" w:w="70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Unit</w:t>
            </w:r>
          </w:p>
        </w:tc>
        <w:tc>
          <w:tcPr>
            <w:tcW w:type="dxa" w:w="7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API-first, US-focused, popular with early-stage fintechs; bundles accounts, cards, and payments with a sponsor bank.</w:t>
            </w:r>
          </w:p>
        </w:tc>
      </w:tr>
      <w:tr>
        <w:tc>
          <w:tcPr>
            <w:tcW w:type="dxa" w:w="30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Treasury Prime</w:t>
            </w:r>
          </w:p>
        </w:tc>
        <w:tc>
          <w:tcPr>
            <w:tcW w:type="dxa" w:w="708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Lets you contract more directly with a choice of partner community banks rather than a single intermediary.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Synctera</w:t>
            </w:r>
          </w:p>
        </w:tc>
        <w:tc>
          <w:tcPr>
            <w:tcW w:type="dxa" w:w="7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Marketplace-style model connecting fintechs with multiple sponsor banks and BaaS tooling.</w:t>
            </w:r>
          </w:p>
        </w:tc>
      </w:tr>
      <w:tr>
        <w:tc>
          <w:tcPr>
            <w:tcW w:type="dxa" w:w="30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Galileo</w:t>
            </w:r>
          </w:p>
        </w:tc>
        <w:tc>
          <w:tcPr>
            <w:tcW w:type="dxa" w:w="708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Card issuing and processing heavyweight, often paired with a separate sponsor bank relationship.</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Column</w:t>
            </w:r>
          </w:p>
        </w:tc>
        <w:tc>
          <w:tcPr>
            <w:tcW w:type="dxa" w:w="7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Bank-chartered BaaS provider (Column is itself a chartered bank), API-first.</w:t>
            </w:r>
          </w:p>
        </w:tc>
      </w:tr>
      <w:tr>
        <w:tc>
          <w:tcPr>
            <w:tcW w:type="dxa" w:w="30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Marqeta</w:t>
            </w:r>
          </w:p>
        </w:tc>
        <w:tc>
          <w:tcPr>
            <w:tcW w:type="dxa" w:w="708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Primarily card issuing/processing; typically combined with a separate account/ledger provider.</w:t>
            </w:r>
          </w:p>
        </w:tc>
      </w:tr>
    </w:tbl>
    <w:p>
      <w:pPr>
        <w:spacing w:after="160"/>
      </w:pPr>
      <w:r>
        <w:t xml:space="preserve">Next step: request compliance documentation and pricing from 2–3 of these, specifically asking who holds the money transmitter/banking license of record and what KYC/AML tooling is included vs. left to you.</w:t>
      </w:r>
    </w:p>
    <w:p>
      <w:pPr>
        <w:pStyle w:val="Heading1"/>
      </w:pPr>
      <w:r>
        <w:t xml:space="preserve">4. KYC / AML Compliance Program</w:t>
      </w:r>
    </w:p>
    <w:p>
      <w:pPr>
        <w:spacing w:after="160"/>
      </w:pPr>
      <w:r>
        <w:t xml:space="preserve">This is not optional and cannot be faked with a status field. A real program needs, at minimum:</w:t>
      </w:r>
    </w:p>
    <w:p>
      <w:pPr>
        <w:pStyle w:val="ListParagraph"/>
        <w:numPr>
          <w:ilvl w:val="0"/>
          <w:numId w:val="2"/>
        </w:numPr>
        <w:spacing w:after="80"/>
      </w:pPr>
      <w:r>
        <w:t xml:space="preserve">A written BSA/AML policy and documented risk assessment.</w:t>
      </w:r>
    </w:p>
    <w:p>
      <w:pPr>
        <w:pStyle w:val="ListParagraph"/>
        <w:numPr>
          <w:ilvl w:val="0"/>
          <w:numId w:val="2"/>
        </w:numPr>
        <w:spacing w:after="80"/>
      </w:pPr>
      <w:r>
        <w:t xml:space="preserve">A designated BSA/AML Compliance Officer (named individual, even if it's a founder early on).</w:t>
      </w:r>
    </w:p>
    <w:p>
      <w:pPr>
        <w:pStyle w:val="ListParagraph"/>
        <w:numPr>
          <w:ilvl w:val="0"/>
          <w:numId w:val="2"/>
        </w:numPr>
        <w:spacing w:after="80"/>
      </w:pPr>
      <w:r>
        <w:t xml:space="preserve">Customer Identification Program (CIP): real government ID capture + verification, liveness/selfie match, and address verification — typically via a vendor (Persona, Alloy, Plaid Identity, Onfido, or similar) rather than built in-house.</w:t>
      </w:r>
    </w:p>
    <w:p>
      <w:pPr>
        <w:pStyle w:val="ListParagraph"/>
        <w:numPr>
          <w:ilvl w:val="0"/>
          <w:numId w:val="2"/>
        </w:numPr>
        <w:spacing w:after="80"/>
      </w:pPr>
      <w:r>
        <w:t xml:space="preserve">Customer Due Diligence (CDD) and, for higher-risk accounts, Enhanced Due Diligence (EDD) with source-of-funds documentation.</w:t>
      </w:r>
    </w:p>
    <w:p>
      <w:pPr>
        <w:pStyle w:val="ListParagraph"/>
        <w:numPr>
          <w:ilvl w:val="0"/>
          <w:numId w:val="2"/>
        </w:numPr>
        <w:spacing w:after="80"/>
      </w:pPr>
      <w:r>
        <w:t xml:space="preserve">Real-time OFAC / sanctions list screening on every customer and every transaction, not just at signup.</w:t>
      </w:r>
    </w:p>
    <w:p>
      <w:pPr>
        <w:pStyle w:val="ListParagraph"/>
        <w:numPr>
          <w:ilvl w:val="0"/>
          <w:numId w:val="2"/>
        </w:numPr>
        <w:spacing w:after="80"/>
      </w:pPr>
      <w:r>
        <w:t xml:space="preserve">Ongoing transaction monitoring for suspicious activity, with Suspicious Activity Report (SAR) filing within 30 days of detection.</w:t>
      </w:r>
    </w:p>
    <w:p>
      <w:pPr>
        <w:pStyle w:val="ListParagraph"/>
        <w:numPr>
          <w:ilvl w:val="0"/>
          <w:numId w:val="2"/>
        </w:numPr>
        <w:spacing w:after="80"/>
      </w:pPr>
      <w:r>
        <w:t xml:space="preserve">Periodic re-verification: annually for higher-risk customers, roughly every 3 years for lower-risk.</w:t>
      </w:r>
    </w:p>
    <w:p>
      <w:pPr>
        <w:pStyle w:val="ListParagraph"/>
        <w:numPr>
          <w:ilvl w:val="0"/>
          <w:numId w:val="2"/>
        </w:numPr>
        <w:spacing w:after="80"/>
      </w:pPr>
      <w:r>
        <w:t xml:space="preserve">Independent audit of the AML program on a regular cadence, plus staff training.</w:t>
      </w:r>
    </w:p>
    <w:p>
      <w:pPr>
        <w:spacing w:after="160"/>
      </w:pPr>
      <w:r>
        <w:t xml:space="preserve">In almost all cases, a BaaS/sponsor-bank partnership will require you to either use their KYC/AML stack or a vendor they approve — this is usually faster than building it yourself and is often contractually mandatory.</w:t>
      </w:r>
    </w:p>
    <w:p>
      <w:pPr>
        <w:pStyle w:val="Heading1"/>
      </w:pPr>
      <w:r>
        <w:t xml:space="preserve">5. Real Ledger &amp; Money-Movement Architecture</w:t>
      </w:r>
    </w:p>
    <w:p>
      <w:pPr>
        <w:spacing w:after="160"/>
      </w:pPr>
      <w:r>
        <w:t xml:space="preserve">The single highest-priority technical fix is replacing the current admin “credit/debit” mechanism with a real ledger. The defining property of a real financial ledger is that account balances are never stored as a mutable number — they are always the computed sum of an immutable, append-only history of double-entry transactions, where every entry has a matching, offsetting entry (money doesn't appear or disappear; it moves from one account to another).</w:t>
      </w:r>
    </w:p>
    <w:p>
      <w:pPr>
        <w:pStyle w:val="ListParagraph"/>
        <w:numPr>
          <w:ilvl w:val="0"/>
          <w:numId w:val="2"/>
        </w:numPr>
        <w:spacing w:after="80"/>
      </w:pPr>
      <w:r>
        <w:t xml:space="preserve">Double-entry accounting core: every transaction posts at least two entries (a debit and a credit) that net to zero, across a real chart of accounts (customer liability accounts, the platform's own asset/clearing accounts, fee revenue, etc.).</w:t>
      </w:r>
    </w:p>
    <w:p>
      <w:pPr>
        <w:pStyle w:val="ListParagraph"/>
        <w:numPr>
          <w:ilvl w:val="0"/>
          <w:numId w:val="2"/>
        </w:numPr>
        <w:spacing w:after="80"/>
      </w:pPr>
      <w:r>
        <w:t xml:space="preserve">Balances are derived, not stored: a customer's balance is SUM(credits) − SUM(debits) for their account, computed from the ledger — never a field an admin can directly overwrite.</w:t>
      </w:r>
    </w:p>
    <w:p>
      <w:pPr>
        <w:pStyle w:val="ListParagraph"/>
        <w:numPr>
          <w:ilvl w:val="0"/>
          <w:numId w:val="2"/>
        </w:numPr>
        <w:spacing w:after="80"/>
      </w:pPr>
      <w:r>
        <w:t xml:space="preserve">Admin actions become ledger entries, not overrides: an admin “adjustment” should itself post a real, dual-sided, reason-coded, approver-logged ledger transaction (e.g., debiting a 'Manual Adjustment Expense' account and crediting the customer) — never a raw balance write.</w:t>
      </w:r>
    </w:p>
    <w:p>
      <w:pPr>
        <w:pStyle w:val="ListParagraph"/>
        <w:numPr>
          <w:ilvl w:val="0"/>
          <w:numId w:val="2"/>
        </w:numPr>
        <w:spacing w:after="80"/>
      </w:pPr>
      <w:r>
        <w:t xml:space="preserve">Idempotency and immutability: transactions are never edited or deleted after posting; corrections are made via new offsetting entries, preserving a full audit trail.</w:t>
      </w:r>
    </w:p>
    <w:p>
      <w:pPr>
        <w:pStyle w:val="ListParagraph"/>
        <w:numPr>
          <w:ilvl w:val="0"/>
          <w:numId w:val="2"/>
        </w:numPr>
        <w:spacing w:after="80"/>
      </w:pPr>
      <w:r>
        <w:t xml:space="preserve">Real settlement integration: once connected to a BaaS provider, ledger entries are triggered by actual settlement events (ACH file cleared, wire received, card auth captured) via webhooks — not created speculatively by the UI.</w:t>
      </w:r>
    </w:p>
    <w:p>
      <w:pPr>
        <w:spacing w:after="160"/>
      </w:pPr>
      <w:r>
        <w:t xml:space="preserve">This section is implemented directly in this session — see the accompanying code changes for a first version of a real double-entry ledger replacing balanceStore.ts.</w:t>
      </w:r>
    </w:p>
    <w:p>
      <w:pPr>
        <w:pStyle w:val="Heading1"/>
      </w:pPr>
      <w:r>
        <w:t xml:space="preserve">6. Security &amp; Data Compliance</w:t>
      </w:r>
    </w:p>
    <w:p>
      <w:pPr>
        <w:pStyle w:val="ListParagraph"/>
        <w:numPr>
          <w:ilvl w:val="0"/>
          <w:numId w:val="2"/>
        </w:numPr>
        <w:spacing w:after="80"/>
      </w:pPr>
      <w:r>
        <w:t xml:space="preserve">PCI DSS — required if the platform touches card data directly at any point (even card issuing via a partner usually requires SAQ-level compliance).</w:t>
      </w:r>
    </w:p>
    <w:p>
      <w:pPr>
        <w:pStyle w:val="ListParagraph"/>
        <w:numPr>
          <w:ilvl w:val="0"/>
          <w:numId w:val="2"/>
        </w:numPr>
        <w:spacing w:after="80"/>
      </w:pPr>
      <w:r>
        <w:t xml:space="preserve">SOC 2 Type II — the de facto standard sponsor banks and enterprise customers will require before trusting the platform with financial data.</w:t>
      </w:r>
    </w:p>
    <w:p>
      <w:pPr>
        <w:pStyle w:val="ListParagraph"/>
        <w:numPr>
          <w:ilvl w:val="0"/>
          <w:numId w:val="2"/>
        </w:numPr>
        <w:spacing w:after="80"/>
      </w:pPr>
      <w:r>
        <w:t xml:space="preserve">GLBA (Gramm-Leach-Bliley Act) — governs how financial institutions handle nonpublic personal information; requires a written information security program and customer privacy notices.</w:t>
      </w:r>
    </w:p>
    <w:p>
      <w:pPr>
        <w:pStyle w:val="ListParagraph"/>
        <w:numPr>
          <w:ilvl w:val="0"/>
          <w:numId w:val="2"/>
        </w:numPr>
        <w:spacing w:after="80"/>
      </w:pPr>
      <w:r>
        <w:t xml:space="preserve">Encryption at rest and in transit for all PII and financial data (bank account numbers, SSNs, ID documents) — current file-based JSON/JSONL storage is not an acceptable long-term store for this data.</w:t>
      </w:r>
    </w:p>
    <w:p>
      <w:pPr>
        <w:pStyle w:val="ListParagraph"/>
        <w:numPr>
          <w:ilvl w:val="0"/>
          <w:numId w:val="2"/>
        </w:numPr>
        <w:spacing w:after="80"/>
      </w:pPr>
      <w:r>
        <w:t xml:space="preserve">Secrets and credential management already partially in place (per the audit report's getSecret() pattern) — extend this discipline to any BaaS/KYC vendor API keys.</w:t>
      </w:r>
    </w:p>
    <w:p>
      <w:pPr>
        <w:pStyle w:val="ListParagraph"/>
        <w:numPr>
          <w:ilvl w:val="0"/>
          <w:numId w:val="2"/>
        </w:numPr>
        <w:spacing w:after="80"/>
      </w:pPr>
      <w:r>
        <w:t xml:space="preserve">Formal incident response and breach notification plan (required under most state laws once real PII is involved).</w:t>
      </w:r>
    </w:p>
    <w:p>
      <w:pPr>
        <w:pStyle w:val="Heading1"/>
      </w:pPr>
      <w:r>
        <w:t xml:space="preserve">7. Fraud Controls &amp; Operational Risk</w:t>
      </w:r>
    </w:p>
    <w:p>
      <w:pPr>
        <w:pStyle w:val="ListParagraph"/>
        <w:numPr>
          <w:ilvl w:val="0"/>
          <w:numId w:val="2"/>
        </w:numPr>
        <w:spacing w:after="80"/>
      </w:pPr>
      <w:r>
        <w:t xml:space="preserve">Velocity and anomaly detection on transactions (unusual amount, frequency, geography).</w:t>
      </w:r>
    </w:p>
    <w:p>
      <w:pPr>
        <w:pStyle w:val="ListParagraph"/>
        <w:numPr>
          <w:ilvl w:val="0"/>
          <w:numId w:val="2"/>
        </w:numPr>
        <w:spacing w:after="80"/>
      </w:pPr>
      <w:r>
        <w:t xml:space="preserve">Device fingerprinting / session risk scoring at login and on high-risk actions.</w:t>
      </w:r>
    </w:p>
    <w:p>
      <w:pPr>
        <w:pStyle w:val="ListParagraph"/>
        <w:numPr>
          <w:ilvl w:val="0"/>
          <w:numId w:val="2"/>
        </w:numPr>
        <w:spacing w:after="80"/>
      </w:pPr>
      <w:r>
        <w:t xml:space="preserve">Dual control / maker-checker on all manual admin financial actions (one admin proposes, a second approves) — currently a single admin can unilaterally credit/debit any account.</w:t>
      </w:r>
    </w:p>
    <w:p>
      <w:pPr>
        <w:pStyle w:val="ListParagraph"/>
        <w:numPr>
          <w:ilvl w:val="0"/>
          <w:numId w:val="2"/>
        </w:numPr>
        <w:spacing w:after="80"/>
      </w:pPr>
      <w:r>
        <w:t xml:space="preserve">Segregation of duties between engineering (can deploy code) and operations (can approve financial actions).</w:t>
      </w:r>
    </w:p>
    <w:p>
      <w:pPr>
        <w:pStyle w:val="ListParagraph"/>
        <w:numPr>
          <w:ilvl w:val="0"/>
          <w:numId w:val="2"/>
        </w:numPr>
        <w:spacing w:after="80"/>
      </w:pPr>
      <w:r>
        <w:t xml:space="preserve">Business continuity / disaster recovery plan, since a banking product cannot have unplanned downtime around money movement.</w:t>
      </w:r>
    </w:p>
    <w:p>
      <w:pPr>
        <w:pStyle w:val="Heading1"/>
      </w:pPr>
      <w:r>
        <w:t xml:space="preserve">8. Suggested Phased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280"/>
        <w:gridCol w:w="2600"/>
      </w:tblGrid>
      <w:tr>
        <w:trPr>
          <w:tblHeader/>
        </w:trPr>
        <w:tc>
          <w:tcPr>
            <w:tcW w:type="dxa" w:w="1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b/>
                <w:bCs/>
                <w:color w:val="FFFFFF"/>
                <w:sz w:val="19"/>
                <w:szCs w:val="19"/>
              </w:rPr>
              <w:t xml:space="preserve">Phase</w:t>
            </w:r>
          </w:p>
        </w:tc>
        <w:tc>
          <w:tcPr>
            <w:tcW w:type="dxa" w:w="628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b/>
                <w:bCs/>
                <w:color w:val="FFFFFF"/>
                <w:sz w:val="19"/>
                <w:szCs w:val="19"/>
              </w:rPr>
              <w:t xml:space="preserve">Focus</w:t>
            </w:r>
          </w:p>
        </w:tc>
        <w:tc>
          <w:tcPr>
            <w:tcW w:type="dxa" w:w="26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b/>
                <w:bCs/>
                <w:color w:val="FFFFFF"/>
                <w:sz w:val="19"/>
                <w:szCs w:val="19"/>
              </w:rPr>
              <w:t xml:space="preserve">Rough Timeline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0</w:t>
            </w:r>
          </w:p>
        </w:tc>
        <w:tc>
          <w:tcPr>
            <w:tcW w:type="dxa" w:w="6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Legal structure decision (BaaS vs. charter), attorney engagement, gate public access to current site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Immediate, 2–4 weeks</w:t>
            </w:r>
          </w:p>
        </w:tc>
      </w:tr>
      <w:tr>
        <w:tc>
          <w:tcPr>
            <w:tcW w:type="dxa" w:w="12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1</w:t>
            </w:r>
          </w:p>
        </w:tc>
        <w:tc>
          <w:tcPr>
            <w:tcW w:type="dxa" w:w="628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Select BaaS partner + KYC/AML vendor; sign agreements</w:t>
            </w:r>
          </w:p>
        </w:tc>
        <w:tc>
          <w:tcPr>
            <w:tcW w:type="dxa" w:w="26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1–3 months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2</w:t>
            </w:r>
          </w:p>
        </w:tc>
        <w:tc>
          <w:tcPr>
            <w:tcW w:type="dxa" w:w="6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Rebuild ledger as real double-entry system (started this session); integrate BaaS sandbox API</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1–2 months, parallel to Phase 1</w:t>
            </w:r>
          </w:p>
        </w:tc>
      </w:tr>
      <w:tr>
        <w:tc>
          <w:tcPr>
            <w:tcW w:type="dxa" w:w="12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3</w:t>
            </w:r>
          </w:p>
        </w:tc>
        <w:tc>
          <w:tcPr>
            <w:tcW w:type="dxa" w:w="628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Real KYC flow (ID capture, verification, sanctions screening) replacing the status-field placeholder</w:t>
            </w:r>
          </w:p>
        </w:tc>
        <w:tc>
          <w:tcPr>
            <w:tcW w:type="dxa" w:w="26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1–2 months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4</w:t>
            </w:r>
          </w:p>
        </w:tc>
        <w:tc>
          <w:tcPr>
            <w:tcW w:type="dxa" w:w="6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Security hardening: move off file-based storage to an encrypted database, SOC 2 readiness, PCI scoping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2–3 months</w:t>
            </w:r>
          </w:p>
        </w:tc>
      </w:tr>
      <w:tr>
        <w:tc>
          <w:tcPr>
            <w:tcW w:type="dxa" w:w="12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5</w:t>
            </w:r>
          </w:p>
        </w:tc>
        <w:tc>
          <w:tcPr>
            <w:tcW w:type="dxa" w:w="628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Fraud monitoring, dual-control admin actions, audit logging maturity</w:t>
            </w:r>
          </w:p>
        </w:tc>
        <w:tc>
          <w:tcPr>
            <w:tcW w:type="dxa" w:w="2600"/>
            <w:tcBorders>
              <w:top w:val="single" w:color="CCCCCC" w:sz="1"/>
              <w:left w:val="single" w:color="CCCCCC" w:sz="1"/>
              <w:bottom w:val="single" w:color="CCCCCC" w:sz="1"/>
              <w:right w:val="single" w:color="CCCCCC" w:sz="1"/>
            </w:tcBorders>
            <w:shd w:fill="F7F5EF" w:val="clear"/>
            <w:tcMar>
              <w:top w:type="dxa" w:w="90"/>
              <w:left w:type="dxa" w:w="120"/>
              <w:bottom w:type="dxa" w:w="90"/>
              <w:right w:type="dxa" w:w="120"/>
            </w:tcMar>
          </w:tcPr>
          <w:p>
            <w:r>
              <w:rPr>
                <w:sz w:val="19"/>
                <w:szCs w:val="19"/>
              </w:rPr>
              <w:t xml:space="preserve">1–2 months, parallel to Phase 4</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6</w:t>
            </w:r>
          </w:p>
        </w:tc>
        <w:tc>
          <w:tcPr>
            <w:tcW w:type="dxa" w:w="6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Sandbox-to-production cutover with BaaS partner, limited beta with real (consenting, disclosed) users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sz w:val="19"/>
                <w:szCs w:val="19"/>
              </w:rPr>
              <w:t xml:space="preserve">After all above complete</w:t>
            </w:r>
          </w:p>
        </w:tc>
      </w:tr>
    </w:tbl>
    <w:p>
      <w:pPr>
        <w:pStyle w:val="Heading1"/>
      </w:pPr>
      <w:r>
        <w:t xml:space="preserve">9. Immediate Next Steps</w:t>
      </w:r>
    </w:p>
    <w:p>
      <w:pPr>
        <w:pStyle w:val="ListParagraph"/>
        <w:numPr>
          <w:ilvl w:val="0"/>
          <w:numId w:val="3"/>
        </w:numPr>
        <w:spacing w:after="80"/>
      </w:pPr>
      <w:r>
        <w:t xml:space="preserve">Confirm the live citygate.capital deployment is not collecting real KYC data or real bank details from the public while it remains a demo.</w:t>
      </w:r>
    </w:p>
    <w:p>
      <w:pPr>
        <w:pStyle w:val="ListParagraph"/>
        <w:numPr>
          <w:ilvl w:val="0"/>
          <w:numId w:val="3"/>
        </w:numPr>
        <w:spacing w:after="80"/>
      </w:pPr>
      <w:r>
        <w:t xml:space="preserve">Engage a fintech/banking attorney to confirm BaaS vs. charter strategy and review any BaaS contract's licensing/liability terms.</w:t>
      </w:r>
    </w:p>
    <w:p>
      <w:pPr>
        <w:pStyle w:val="ListParagraph"/>
        <w:numPr>
          <w:ilvl w:val="0"/>
          <w:numId w:val="3"/>
        </w:numPr>
        <w:spacing w:after="80"/>
      </w:pPr>
      <w:r>
        <w:t xml:space="preserve">Request compliance packets and pricing from 2–3 BaaS providers (Section 3).</w:t>
      </w:r>
    </w:p>
    <w:p>
      <w:pPr>
        <w:pStyle w:val="ListParagraph"/>
        <w:numPr>
          <w:ilvl w:val="0"/>
          <w:numId w:val="3"/>
        </w:numPr>
        <w:spacing w:after="80"/>
      </w:pPr>
      <w:r>
        <w:t xml:space="preserve">Select a KYC/AML vendor and scope integration (Section 4).</w:t>
      </w:r>
    </w:p>
    <w:p>
      <w:pPr>
        <w:pStyle w:val="ListParagraph"/>
        <w:numPr>
          <w:ilvl w:val="0"/>
          <w:numId w:val="3"/>
        </w:numPr>
        <w:spacing w:after="80"/>
      </w:pPr>
      <w:r>
        <w:t xml:space="preserve">Adopt the double-entry ledger rebuild started in this session as the new source of truth for balances (Section 5).</w:t>
      </w:r>
    </w:p>
    <w:p>
      <w:pPr>
        <w:pStyle w:val="ListParagraph"/>
        <w:numPr>
          <w:ilvl w:val="0"/>
          <w:numId w:val="3"/>
        </w:numPr>
        <w:spacing w:after="80"/>
      </w:pPr>
      <w:r>
        <w:t xml:space="preserve">Plan migration off file-based JSON/JSONL storage to a real encrypted database before any real user data is collected.</w:t>
      </w:r>
    </w:p>
    <w:p>
      <w:pPr>
        <w:pStyle w:val="Heading1"/>
      </w:pPr>
      <w:r>
        <w:t xml:space="preserve">10. Progress Update — Further Work Completed This Session</w:t>
      </w:r>
    </w:p>
    <w:p>
      <w:r>
        <w:t xml:space="preserve">This section was appended after additional engineering and security work performed in the same session as the original roadmap above. It records what has since been built or fixed, and what remains open.</w:t>
      </w:r>
    </w:p>
    <w:p>
      <w:pPr>
        <w:pStyle w:val="Heading2"/>
      </w:pPr>
      <w:r>
        <w:t xml:space="preserve">10.1 Completed since the original roadmap</w:t>
      </w:r>
    </w:p>
    <w:p>
      <w:pPr>
        <w:pStyle w:val="ListParagraph"/>
        <w:numPr>
          <w:ilvl w:val="0"/>
          <w:numId w:val="2"/>
        </w:numPr>
        <w:spacing w:after="80"/>
      </w:pPr>
      <w:r>
        <w:t xml:space="preserve">Migrated all server-side data stores off file-based JSON/JSONL storage onto a real Postgres database (Supabase), including balances, transactions, users, admin sessions, support tickets, KYC records, and the audit log — directly closing the Phase 4 storage gap and the Section 6 encryption-at-rest concern flagged above.</w:t>
      </w:r>
    </w:p>
    <w:p>
      <w:pPr>
        <w:pStyle w:val="ListParagraph"/>
        <w:numPr>
          <w:ilvl w:val="0"/>
          <w:numId w:val="2"/>
        </w:numPr>
        <w:spacing w:after="80"/>
      </w:pPr>
      <w:r>
        <w:t xml:space="preserve">Implemented dual control (maker-checker) on admin balance adjustments: one admin proposes an adjustment, a second must approve it before it posts — closing the Section 7 fraud-control gap.</w:t>
      </w:r>
    </w:p>
    <w:p>
      <w:pPr>
        <w:pStyle w:val="ListParagraph"/>
        <w:numPr>
          <w:ilvl w:val="0"/>
          <w:numId w:val="2"/>
        </w:numPr>
        <w:spacing w:after="80"/>
      </w:pPr>
      <w:r>
        <w:t xml:space="preserve">Built a real support ticket system (conversations, messages, notes) backed by Postgres, replacing placeholder/fake ticket data in the admin panel.</w:t>
      </w:r>
    </w:p>
    <w:p>
      <w:pPr>
        <w:pStyle w:val="ListParagraph"/>
        <w:numPr>
          <w:ilvl w:val="0"/>
          <w:numId w:val="2"/>
        </w:numPr>
        <w:spacing w:after="80"/>
      </w:pPr>
      <w:r>
        <w:t xml:space="preserve">Built a real KYC data model and admin review flow: document upload to a private, access-controlled storage bucket, submission tracking, and an approve/reject workflow with audit logging. This is scaffolding, not a compliance program — it still requires a licensed KYC/AML vendor (Section 4) for actual identity verification, liveness checks, and sanctions screening before any real customer is onboarded.</w:t>
      </w:r>
    </w:p>
    <w:p>
      <w:pPr>
        <w:pStyle w:val="ListParagraph"/>
        <w:numPr>
          <w:ilvl w:val="0"/>
          <w:numId w:val="2"/>
        </w:numPr>
        <w:spacing w:after="80"/>
      </w:pPr>
      <w:r>
        <w:t xml:space="preserve">Migrated the audit log itself from a local file to Postgres, so the compliance trail survives redeploys.</w:t>
      </w:r>
    </w:p>
    <w:p>
      <w:pPr>
        <w:pStyle w:val="ListParagraph"/>
        <w:numPr>
          <w:ilvl w:val="0"/>
          <w:numId w:val="2"/>
        </w:numPr>
        <w:spacing w:after="80"/>
      </w:pPr>
      <w:r>
        <w:t xml:space="preserve">Removed several instances of hardcoded/fake data remaining in the admin panel (live FX &amp; crypto rates, the notification bell, a fabricated newsletter open-rate stat) and replaced them with real, live-sourced data or an honest empty state.</w:t>
      </w:r>
    </w:p>
    <w:p>
      <w:pPr>
        <w:pStyle w:val="ListParagraph"/>
        <w:numPr>
          <w:ilvl w:val="0"/>
          <w:numId w:val="2"/>
        </w:numPr>
        <w:spacing w:after="80"/>
      </w:pPr>
      <w:r>
        <w:t xml:space="preserve">Found and fixed a critical, unauthenticated data-exposure vulnerability: a database view bypassed row-level security and exposed every customer's PII and credentials (including password hashes, session tokens, and bank account details) to anyone via the public API, with no login required.</w:t>
      </w:r>
    </w:p>
    <w:p>
      <w:pPr>
        <w:pStyle w:val="ListParagraph"/>
        <w:numPr>
          <w:ilvl w:val="0"/>
          <w:numId w:val="2"/>
        </w:numPr>
        <w:spacing w:after="80"/>
      </w:pPr>
      <w:r>
        <w:t xml:space="preserve">Removed a PCI-shaped landmine: an unused, orphaned database table stored card numbers and CVVs as plaintext. It has been dropped, and replaced with a properly designed encryption primitive (Postgres pgcrypto, key held in Supabase Vault, access restricted to the trusted backend only) ready for if/when virtual card issuance is rebuilt against a real, licensed card processor.</w:t>
      </w:r>
    </w:p>
    <w:p>
      <w:pPr>
        <w:pStyle w:val="ListParagraph"/>
        <w:numPr>
          <w:ilvl w:val="0"/>
          <w:numId w:val="2"/>
        </w:numPr>
        <w:spacing w:after="80"/>
      </w:pPr>
      <w:r>
        <w:t xml:space="preserve">Discovered a second, forgotten Supabase project containing real customer, wallet, and admin data that was never secured — it has since been hardened to close the same class of vulnerabilities found and fixed in the live project.</w:t>
      </w:r>
    </w:p>
    <w:p>
      <w:pPr>
        <w:pStyle w:val="Heading2"/>
      </w:pPr>
      <w:r>
        <w:t xml:space="preserve">10.2 New open items requiring a decision</w:t>
      </w:r>
    </w:p>
    <w:p>
      <w:pPr>
        <w:pStyle w:val="ListParagraph"/>
        <w:numPr>
          <w:ilvl w:val="0"/>
          <w:numId w:val="2"/>
        </w:numPr>
        <w:spacing w:after="80"/>
      </w:pPr>
      <w:r>
        <w:t xml:space="preserve">Source control: the codebase changes made this session are not committed to git — the working environment used to make them could not acquire a git lock due to a filesystem permissions issue outside of AI control. Commit this work from a normal development machine before it is at risk of being lost or overwritten.</w:t>
      </w:r>
    </w:p>
    <w:p>
      <w:pPr>
        <w:pStyle w:val="ListParagraph"/>
        <w:numPr>
          <w:ilvl w:val="0"/>
          <w:numId w:val="2"/>
        </w:numPr>
        <w:spacing w:after="80"/>
      </w:pPr>
      <w:r>
        <w:t xml:space="preserve">A second, orphaned Supabase project (separate from the one the live app uses) still exists with real data in it. It has been secured, but a decision is still needed on whether to migrate anything out of it, archive it, or delete it outright — deleting it requires a billing-tier change that only the account owner can authorize.</w:t>
      </w:r>
    </w:p>
    <w:p>
      <w:pPr>
        <w:pStyle w:val="ListParagraph"/>
        <w:numPr>
          <w:ilvl w:val="0"/>
          <w:numId w:val="2"/>
        </w:numPr>
        <w:spacing w:after="80"/>
      </w:pPr>
      <w:r>
        <w:t xml:space="preserve">The application still has two parallel, unreconciled identity/schema systems (a text-id ‘users’ table used by the live app’s custom authentication, and a separate uuid-based ‘profiles/accounts/auth.users’ schema tied to Supabase Auth). This is architectural debt that should be resolved deliberately, not fixed opportunistically, since it affects how customer identity works across the whole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2E" w:sz="6" w:space="4"/>
      </w:pBdr>
      <w:spacing w:after="200" w:before="400"/>
      <w:outlineLvl w:val="0"/>
    </w:pPr>
    <w:rPr>
      <w:rFonts w:ascii="Calibri" w:cs="Calibri" w:eastAsia="Calibri" w:hAnsi="Calibri"/>
      <w:b/>
      <w:bCs/>
      <w:color w:val="9C7A2E"/>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2026-07-03T17:26:24.329Z</dcterms:created>
  <dcterms:modified xsi:type="dcterms:W3CDTF">2026-07-03T17:26:24.383Z</dcterms:modified>
</cp:coreProperties>
</file>

<file path=docProps/custom.xml><?xml version="1.0" encoding="utf-8"?>
<Properties xmlns="http://schemas.openxmlformats.org/officeDocument/2006/custom-properties" xmlns:vt="http://schemas.openxmlformats.org/officeDocument/2006/docPropsVTypes"/>
</file>