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b/>
          <w:bCs/>
          <w:caps/>
          <w:color w:val="9A7B2E"/>
          <w:spacing w:val="30"/>
          <w:sz w:val="20"/>
          <w:szCs w:val="20"/>
        </w:rPr>
        <w:t xml:space="preserve">Document Brief — updated</w:t>
      </w:r>
    </w:p>
    <w:p>
      <w:pPr>
        <w:spacing w:after="40"/>
      </w:pPr>
      <w:r>
        <w:rPr>
          <w:b/>
          <w:bCs/>
          <w:color w:val="1A1A1A"/>
          <w:sz w:val="30"/>
          <w:szCs w:val="30"/>
        </w:rPr>
        <w:t xml:space="preserve">Recent Downloads: what matters &amp; what needs action</w:t>
      </w:r>
    </w:p>
    <w:p>
      <w:pPr>
        <w:spacing w:after="120"/>
      </w:pPr>
      <w:r>
        <w:rPr>
          <w:color w:val="555555"/>
          <w:sz w:val="19"/>
          <w:szCs w:val="19"/>
        </w:rPr>
        <w:t xml:space="preserve">Prepared 20 August 2026  ·  For BDM  ·  Supersedes the 3-document brief; adds two files and verified figures</w:t>
      </w:r>
    </w:p>
    <w:p>
      <w:pPr>
        <w:pBdr>
          <w:bottom w:val="single" w:color="DDDDDD" w:sz="6" w:space="1"/>
        </w:pBdr>
        <w:spacing w:after="120" w:before="120"/>
      </w:pPr>
      <w:r>
        <w:t xml:space="preserve"/>
      </w:r>
    </w:p>
    <w:p>
      <w:pPr>
        <w:pStyle w:val="Heading1"/>
        <w:spacing w:after="100" w:before="260"/>
      </w:pPr>
      <w:r>
        <w:rPr>
          <w:b/>
          <w:bCs/>
          <w:color w:val="1A1A1A"/>
          <w:sz w:val="26"/>
          <w:szCs w:val="26"/>
        </w:rPr>
        <w:t xml:space="preserve">Headlines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A1A1A"/>
          <w:sz w:val="21"/>
          <w:szCs w:val="21"/>
        </w:rPr>
        <w:t xml:space="preserve">URGENT — Companies House: the </w:t>
      </w:r>
      <w:r>
        <w:rPr>
          <w:b/>
          <w:bCs/>
          <w:color w:val="8B2E2E"/>
          <w:sz w:val="21"/>
          <w:szCs w:val="21"/>
        </w:rPr>
        <w:t xml:space="preserve">confirmation statement is due 1 October 2026</w:t>
      </w:r>
      <w:r>
        <w:rPr>
          <w:color w:val="1A1A1A"/>
          <w:sz w:val="21"/>
          <w:szCs w:val="21"/>
        </w:rPr>
        <w:t xml:space="preserve"> (~6 weeks). The annual accounts to 30/09/2025 are already filed; next accounts due 30/06/2027.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A1A1A"/>
          <w:sz w:val="21"/>
          <w:szCs w:val="21"/>
        </w:rPr>
        <w:t xml:space="preserve">STALE FIGURE — the brand draft says inflation </w:t>
      </w:r>
      <w:r>
        <w:rPr>
          <w:b/>
          <w:bCs/>
          <w:color w:val="8B2E2E"/>
          <w:sz w:val="21"/>
          <w:szCs w:val="21"/>
        </w:rPr>
        <w:t xml:space="preserve">“slowed to 2.6%.” It has since risen: CPI was 2.9% in July 2026</w:t>
      </w:r>
      <w:r>
        <w:rPr>
          <w:color w:val="1A1A1A"/>
          <w:sz w:val="21"/>
          <w:szCs w:val="21"/>
        </w:rPr>
        <w:t xml:space="preserve"> (published 19 Aug 2026). Any public use of that line is now wrong and must be updated.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A1A1A"/>
          <w:sz w:val="21"/>
          <w:szCs w:val="21"/>
        </w:rPr>
        <w:t xml:space="preserve">CONSISTENCY — the company's </w:t>
      </w:r>
      <w:r>
        <w:rPr>
          <w:b/>
          <w:bCs/>
          <w:color w:val="1A1A1A"/>
          <w:sz w:val="21"/>
          <w:szCs w:val="21"/>
        </w:rPr>
        <w:t xml:space="preserve">registered home is Ilkley, West Yorkshire</w:t>
      </w:r>
      <w:r>
        <w:rPr>
          <w:color w:val="1A1A1A"/>
          <w:sz w:val="21"/>
          <w:szCs w:val="21"/>
        </w:rPr>
        <w:t xml:space="preserve">, directors S R Hallam and H Hallam. The story's “Manchester” is a metaphor, not the legal base — decide how to handle that publicly.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A1A1A"/>
          <w:sz w:val="21"/>
          <w:szCs w:val="21"/>
        </w:rPr>
        <w:t xml:space="preserve">The transactions file is </w:t>
      </w:r>
      <w:r>
        <w:rPr>
          <w:b/>
          <w:bCs/>
          <w:color w:val="1A1A1A"/>
          <w:sz w:val="21"/>
          <w:szCs w:val="21"/>
        </w:rPr>
        <w:t xml:space="preserve">simulated preview data</w:t>
      </w:r>
      <w:r>
        <w:rPr>
          <w:color w:val="1A1A1A"/>
          <w:sz w:val="21"/>
          <w:szCs w:val="21"/>
        </w:rPr>
        <w:t xml:space="preserve"> (SpaceX, BTC, LVMH, six-figure wires) — exactly the “simulated balances must never be shown as real” risk the draft warns about.</w:t>
      </w:r>
    </w:p>
    <w:p>
      <w:pPr>
        <w:pBdr>
          <w:bottom w:val="single" w:color="DDDDDD" w:sz="6" w:space="1"/>
        </w:pBdr>
        <w:spacing w:after="120" w:before="120"/>
      </w:pPr>
      <w:r>
        <w:t xml:space="preserve"/>
      </w:r>
    </w:p>
    <w:p>
      <w:pPr>
        <w:pStyle w:val="Heading1"/>
        <w:spacing w:after="100" w:before="260"/>
      </w:pPr>
      <w:r>
        <w:rPr>
          <w:b/>
          <w:bCs/>
          <w:color w:val="1A1A1A"/>
          <w:sz w:val="26"/>
          <w:szCs w:val="26"/>
        </w:rPr>
        <w:t xml:space="preserve">The five documents</w:t>
      </w:r>
    </w:p>
    <w:p>
      <w:pPr>
        <w:spacing w:after="60" w:before="180"/>
      </w:pPr>
      <w:r>
        <w:rPr>
          <w:b/>
          <w:bCs/>
          <w:color w:val="1A1A1A"/>
          <w:sz w:val="23"/>
          <w:szCs w:val="23"/>
        </w:rPr>
        <w:t xml:space="preserve">1. Confirmation Statement (CS01) — PDF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A1A1A"/>
          <w:sz w:val="21"/>
          <w:szCs w:val="21"/>
        </w:rPr>
        <w:t xml:space="preserve">Annual Companies House filing for Citygate Capital Limited (no. 11575573). Confirmed 17/09/2025, filed 01/10/2025.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A1A1A"/>
          <w:sz w:val="21"/>
          <w:szCs w:val="21"/>
        </w:rPr>
        <w:t xml:space="preserve">Action: next statement </w:t>
      </w:r>
      <w:r>
        <w:rPr>
          <w:b/>
          <w:bCs/>
          <w:color w:val="1A1A1A"/>
          <w:sz w:val="21"/>
          <w:szCs w:val="21"/>
        </w:rPr>
        <w:t xml:space="preserve">due 1 October 2026</w:t>
      </w:r>
      <w:r>
        <w:rPr>
          <w:color w:val="1A1A1A"/>
          <w:sz w:val="21"/>
          <w:szCs w:val="21"/>
        </w:rPr>
        <w:t xml:space="preserve"> — confirm it is scheduled/filed.</w:t>
      </w:r>
    </w:p>
    <w:p>
      <w:pPr>
        <w:spacing w:after="60" w:before="180"/>
      </w:pPr>
      <w:r>
        <w:rPr>
          <w:b/>
          <w:bCs/>
          <w:color w:val="1A1A1A"/>
          <w:sz w:val="23"/>
          <w:szCs w:val="23"/>
        </w:rPr>
        <w:t xml:space="preserve">2. Change of Director's Particulars (CH01) — PDF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A1A1A"/>
          <w:sz w:val="21"/>
          <w:szCs w:val="21"/>
        </w:rPr>
        <w:t xml:space="preserve">Older 2019 filing: director Heather Hallam's service address set to Clarence House, 17 Richmond Place, Ilkley, LS29 8TJ. Re-downloaded, not a new event.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A1A1A"/>
          <w:sz w:val="21"/>
          <w:szCs w:val="21"/>
        </w:rPr>
        <w:t xml:space="preserve">Action: this is still the registered office today (confirmed in the 2025 accounts) — reconcile with any “Manchester” public narrative.</w:t>
      </w:r>
    </w:p>
    <w:p>
      <w:pPr>
        <w:spacing w:after="60" w:before="180"/>
      </w:pPr>
      <w:r>
        <w:rPr>
          <w:b/>
          <w:bCs/>
          <w:color w:val="1A1A1A"/>
          <w:sz w:val="23"/>
          <w:szCs w:val="23"/>
        </w:rPr>
        <w:t xml:space="preserve">3. Brand Story Review Draft — Word (11 Aug 2026)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A1A1A"/>
          <w:sz w:val="21"/>
          <w:szCs w:val="21"/>
        </w:rPr>
        <w:t xml:space="preserve">Long-form founding narrative + policy charter. Marked NOT FOR PUBLICATION / owner review.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A1A1A"/>
          <w:sz w:val="21"/>
          <w:szCs w:val="21"/>
        </w:rPr>
        <w:t xml:space="preserve">Hard claims boundary: until authorised, must not call itself a bank, accept deposits, claim FSCS protection, present safeguarding as insurance, or show simulated balances as real. </w:t>
      </w:r>
      <w:r>
        <w:rPr>
          <w:i/>
          <w:iCs/>
          <w:color w:val="555555"/>
          <w:sz w:val="21"/>
          <w:szCs w:val="21"/>
        </w:rPr>
        <w:t xml:space="preserve">(See the separate Claims Checklist.)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A1A1A"/>
          <w:sz w:val="21"/>
          <w:szCs w:val="21"/>
        </w:rPr>
        <w:t xml:space="preserve">Phased plan: synthetic-data proof → narrow UK consumer pilot (FCA Consumer Duty) → business + international expansion.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A1A1A"/>
          <w:sz w:val="21"/>
          <w:szCs w:val="21"/>
        </w:rPr>
        <w:t xml:space="preserve">Action: answer the six owner-review questions; route claim-sensitive wording to counsel + sponsor. (See the About-page draft for a claims-safe starting point.)</w:t>
      </w:r>
    </w:p>
    <w:p>
      <w:pPr>
        <w:spacing w:after="60" w:before="180"/>
      </w:pPr>
      <w:r>
        <w:rPr>
          <w:b/>
          <w:bCs/>
          <w:color w:val="1A1A1A"/>
          <w:sz w:val="23"/>
          <w:szCs w:val="23"/>
        </w:rPr>
        <w:t xml:space="preserve">4. Transactions export — CSV (NEW)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A1A1A"/>
          <w:sz w:val="21"/>
          <w:szCs w:val="21"/>
        </w:rPr>
        <w:t xml:space="preserve">Nine simulated transactions dated Jul–Aug 2026, multi-currency (USD/CHF/EUR): a SpaceX Series K entry (-$125,000), BTC accumulation (-$48,250), a US Treasury coupon (+$4,820.55), an LVMH dividend, a CHF 250,000 custody wire, plus card/deposit items in Pending/Cleared/Review states.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A1A1A"/>
          <w:sz w:val="21"/>
          <w:szCs w:val="21"/>
        </w:rPr>
        <w:t xml:space="preserve">Reads as a </w:t>
      </w:r>
      <w:r>
        <w:rPr>
          <w:b/>
          <w:bCs/>
          <w:color w:val="1A1A1A"/>
          <w:sz w:val="21"/>
          <w:szCs w:val="21"/>
        </w:rPr>
        <w:t xml:space="preserve">product-preview / demo dataset</w:t>
      </w:r>
      <w:r>
        <w:rPr>
          <w:color w:val="1A1A1A"/>
          <w:sz w:val="21"/>
          <w:szCs w:val="21"/>
        </w:rPr>
        <w:t xml:space="preserve">, consistent with the “no real funds” phase. Action: ensure any UI showing figures like these carries a clear “simulated / not real money” label before any external demo.</w:t>
      </w:r>
    </w:p>
    <w:p>
      <w:pPr>
        <w:spacing w:after="60" w:before="180"/>
      </w:pPr>
      <w:r>
        <w:rPr>
          <w:b/>
          <w:bCs/>
          <w:color w:val="1A1A1A"/>
          <w:sz w:val="23"/>
          <w:szCs w:val="23"/>
        </w:rPr>
        <w:t xml:space="preserve">5. Annual Accounts to 30/09/2025 — XHTML (NEW)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A1A1A"/>
          <w:sz w:val="21"/>
          <w:szCs w:val="21"/>
        </w:rPr>
        <w:t xml:space="preserve">Micro-entity, unaudited filleted accounts (audit-exempt under s.477). Presentation currency GBP. Average employees: 2.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A1A1A"/>
          <w:sz w:val="21"/>
          <w:szCs w:val="21"/>
        </w:rPr>
        <w:t xml:space="preserve">Net assets </w:t>
      </w:r>
      <w:r>
        <w:rPr>
          <w:b/>
          <w:bCs/>
          <w:color w:val="1A1A1A"/>
          <w:sz w:val="21"/>
          <w:szCs w:val="21"/>
        </w:rPr>
        <w:t xml:space="preserve">£148,435</w:t>
      </w:r>
      <w:r>
        <w:rPr>
          <w:color w:val="1A1A1A"/>
          <w:sz w:val="21"/>
          <w:szCs w:val="21"/>
        </w:rPr>
        <w:t xml:space="preserve"> (up from £88,448 the prior year). Current assets £254,737; creditors due within one year £87,783; net current assets £166,954.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A1A1A"/>
          <w:sz w:val="21"/>
          <w:szCs w:val="21"/>
        </w:rPr>
        <w:t xml:space="preserve">Approved by the board on 20 April 2026; signed by Mr S R Hallam and Mrs H Hallam (directors).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A1A1A"/>
          <w:sz w:val="21"/>
          <w:szCs w:val="21"/>
        </w:rPr>
        <w:t xml:space="preserve">Action: none required now — informational. Confirms the company is small/early-stage, which reinforces the partnership-led (not self-authorised) route.</w:t>
      </w:r>
    </w:p>
    <w:p>
      <w:pPr>
        <w:pBdr>
          <w:bottom w:val="single" w:color="DDDDDD" w:sz="6" w:space="1"/>
        </w:pBdr>
        <w:spacing w:after="120" w:before="120"/>
      </w:pPr>
      <w:r>
        <w:t xml:space="preserve"/>
      </w:r>
    </w:p>
    <w:p>
      <w:pPr>
        <w:pStyle w:val="Heading1"/>
        <w:spacing w:after="100" w:before="260"/>
      </w:pPr>
      <w:r>
        <w:rPr>
          <w:b/>
          <w:bCs/>
          <w:color w:val="1A1A1A"/>
          <w:sz w:val="26"/>
          <w:szCs w:val="26"/>
        </w:rPr>
        <w:t xml:space="preserve">Verified figures (checked 20 Aug 2026)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1A1A1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Claim in the draft</w:t>
            </w:r>
          </w:p>
        </w:tc>
        <w:tc>
          <w:tcPr>
            <w:tcW w:type="dxa" w:w="4680"/>
            <w:shd w:fill="1A1A1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Current position</w:t>
            </w:r>
          </w:p>
        </w:tc>
      </w:tr>
      <w:tr>
        <w:tc>
          <w:tcPr>
            <w:tcW w:type="dxa" w:w="468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8B2E2E"/>
                <w:sz w:val="21"/>
                <w:szCs w:val="21"/>
              </w:rPr>
              <w:t xml:space="preserve">UK CPI “slowed to 2.6%” (June 2026)</w:t>
            </w:r>
          </w:p>
        </w:tc>
        <w:tc>
          <w:tcPr>
            <w:tcW w:type="dxa" w:w="468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A1A1A"/>
                <w:sz w:val="21"/>
                <w:szCs w:val="21"/>
              </w:rPr>
              <w:t xml:space="preserve">CPI 2.9% for July 2026 (pub. 19 Aug 2026) — inflation rose. Core 2.6%, services 3.4%, CPIH 3.1%.</w:t>
            </w:r>
          </w:p>
        </w:tc>
      </w:tr>
      <w:tr>
        <w:tc>
          <w:tcPr>
            <w:tcW w:type="dxa" w:w="4680"/>
            <w:shd w:fill="F5F2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A1A1A"/>
                <w:sz w:val="21"/>
                <w:szCs w:val="21"/>
              </w:rPr>
              <w:t xml:space="preserve">Bank Rate 3.75%</w:t>
            </w:r>
          </w:p>
        </w:tc>
        <w:tc>
          <w:tcPr>
            <w:tcW w:type="dxa" w:w="4680"/>
            <w:shd w:fill="F5F2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E6B3E"/>
                <w:sz w:val="21"/>
                <w:szCs w:val="21"/>
              </w:rPr>
              <w:t xml:space="preserve">Still 3.75% — held again at the July 2026 meeting. Accurate.</w:t>
            </w:r>
          </w:p>
        </w:tc>
      </w:tr>
      <w:tr>
        <w:tc>
          <w:tcPr>
            <w:tcW w:type="dxa" w:w="468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A1A1A"/>
                <w:sz w:val="21"/>
                <w:szCs w:val="21"/>
              </w:rPr>
              <w:t xml:space="preserve">FSCS limit £120,000 from 1 Dec 2025</w:t>
            </w:r>
          </w:p>
        </w:tc>
        <w:tc>
          <w:tcPr>
            <w:tcW w:type="dxa" w:w="468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E6B3E"/>
                <w:sz w:val="21"/>
                <w:szCs w:val="21"/>
              </w:rPr>
              <w:t xml:space="preserve">Correct — £120,000 per eligible person per institution, from 1 Dec 2025.</w:t>
            </w:r>
          </w:p>
        </w:tc>
      </w:tr>
    </w:tbl>
    <w:p>
      <w:pPr>
        <w:spacing w:before="80"/>
      </w:pPr>
      <w:r>
        <w:rPr>
          <w:i/>
          <w:iCs/>
          <w:color w:val="555555"/>
          <w:sz w:val="19"/>
          <w:szCs w:val="19"/>
        </w:rPr>
        <w:t xml:space="preserve">Re-check all three immediately before any external use; inflation prints monthly.</w:t>
      </w:r>
    </w:p>
    <w:p>
      <w:pPr>
        <w:pBdr>
          <w:bottom w:val="single" w:color="DDDDDD" w:sz="6" w:space="1"/>
        </w:pBdr>
        <w:spacing w:after="120" w:before="120"/>
      </w:pPr>
      <w:r>
        <w:t xml:space="preserve"/>
      </w:r>
    </w:p>
    <w:p>
      <w:pPr>
        <w:pStyle w:val="Heading1"/>
        <w:spacing w:after="100" w:before="260"/>
      </w:pPr>
      <w:r>
        <w:rPr>
          <w:b/>
          <w:bCs/>
          <w:color w:val="1A1A1A"/>
          <w:sz w:val="26"/>
          <w:szCs w:val="26"/>
        </w:rPr>
        <w:t xml:space="preserve">Your action list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A1A1A"/>
          <w:sz w:val="21"/>
          <w:szCs w:val="21"/>
        </w:rPr>
        <w:t xml:space="preserve">File / confirm the </w:t>
      </w:r>
      <w:r>
        <w:rPr>
          <w:b/>
          <w:bCs/>
          <w:color w:val="1A1A1A"/>
          <w:sz w:val="21"/>
          <w:szCs w:val="21"/>
        </w:rPr>
        <w:t xml:space="preserve">confirmation statement by 1 Oct 2026</w:t>
      </w:r>
      <w:r>
        <w:rPr>
          <w:color w:val="1A1A1A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A1A1A"/>
          <w:sz w:val="21"/>
          <w:szCs w:val="21"/>
        </w:rPr>
        <w:t xml:space="preserve">Update or remove the </w:t>
      </w:r>
      <w:r>
        <w:rPr>
          <w:b/>
          <w:bCs/>
          <w:color w:val="1A1A1A"/>
          <w:sz w:val="21"/>
          <w:szCs w:val="21"/>
        </w:rPr>
        <w:t xml:space="preserve">stale inflation line</w:t>
      </w:r>
      <w:r>
        <w:rPr>
          <w:color w:val="1A1A1A"/>
          <w:sz w:val="21"/>
          <w:szCs w:val="21"/>
        </w:rPr>
        <w:t xml:space="preserve"> before any publication.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A1A1A"/>
          <w:sz w:val="21"/>
          <w:szCs w:val="21"/>
        </w:rPr>
        <w:t xml:space="preserve">Decide the </w:t>
      </w:r>
      <w:r>
        <w:rPr>
          <w:b/>
          <w:bCs/>
          <w:color w:val="1A1A1A"/>
          <w:sz w:val="21"/>
          <w:szCs w:val="21"/>
        </w:rPr>
        <w:t xml:space="preserve">Ilkley vs Manchester</w:t>
      </w:r>
      <w:r>
        <w:rPr>
          <w:color w:val="1A1A1A"/>
          <w:sz w:val="21"/>
          <w:szCs w:val="21"/>
        </w:rPr>
        <w:t xml:space="preserve"> public framing.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A1A1A"/>
          <w:sz w:val="21"/>
          <w:szCs w:val="21"/>
        </w:rPr>
        <w:t xml:space="preserve">Answer the </w:t>
      </w:r>
      <w:r>
        <w:rPr>
          <w:b/>
          <w:bCs/>
          <w:color w:val="1A1A1A"/>
          <w:sz w:val="21"/>
          <w:szCs w:val="21"/>
        </w:rPr>
        <w:t xml:space="preserve">six owner-review questions</w:t>
      </w:r>
      <w:r>
        <w:rPr>
          <w:color w:val="1A1A1A"/>
          <w:sz w:val="21"/>
          <w:szCs w:val="21"/>
        </w:rPr>
        <w:t xml:space="preserve"> to unblock the brand copy.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A1A1A"/>
          <w:sz w:val="21"/>
          <w:szCs w:val="21"/>
        </w:rPr>
        <w:t xml:space="preserve">Ensure every demo dataset is </w:t>
      </w:r>
      <w:r>
        <w:rPr>
          <w:b/>
          <w:bCs/>
          <w:color w:val="1A1A1A"/>
          <w:sz w:val="21"/>
          <w:szCs w:val="21"/>
        </w:rPr>
        <w:t xml:space="preserve">labelled “simulated”</w:t>
      </w:r>
      <w:r>
        <w:rPr>
          <w:color w:val="1A1A1A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A1A1A"/>
          <w:sz w:val="21"/>
          <w:szCs w:val="21"/>
        </w:rPr>
        <w:t xml:space="preserve">Route claim-sensitive wording to </w:t>
      </w:r>
      <w:r>
        <w:rPr>
          <w:b/>
          <w:bCs/>
          <w:color w:val="1A1A1A"/>
          <w:sz w:val="21"/>
          <w:szCs w:val="21"/>
        </w:rPr>
        <w:t xml:space="preserve">counsel + sponsor</w:t>
      </w:r>
      <w:r>
        <w:rPr>
          <w:color w:val="1A1A1A"/>
          <w:sz w:val="21"/>
          <w:szCs w:val="21"/>
        </w:rPr>
        <w:t xml:space="preserve"> before publishing.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City Gate Capital</dc:creator>
  <cp:lastModifiedBy>Un-named</cp:lastModifiedBy>
  <cp:revision>1</cp:revision>
  <dcterms:created xsi:type="dcterms:W3CDTF">2026-08-20T02:44:09.652Z</dcterms:created>
  <dcterms:modified xsi:type="dcterms:W3CDTF">2026-08-20T02:44:09.652Z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