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Manual de atención especial al cliente</w:t>
      </w:r>
    </w:p>
    <w:p>
      <w:r>
        <w:t>MAN-ATN-02 · v3 · Corpus sintético de clase</w:t>
      </w:r>
    </w:p>
    <w:p>
      <w:r>
        <w:t>Aprobación experta simulada para la clase. Las áreas y el revisor de este documento son ficticios; no constituye una política corporativa real.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64"/>
        <w:gridCol w:w="7056"/>
      </w:tblGrid>
      <w:tr>
        <w:trPr>
          <w:cantSplit/>
          <w:tblHeader/>
        </w:trPr>
        <w:tc>
          <w:tcPr>
            <w:tcW w:type="dxa" w:w="2664"/>
            <w:vAlign w:val="center"/>
            <w:shd w:fill="1536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0" w:lineRule="auto"/>
            </w:pPr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7056"/>
            <w:vAlign w:val="center"/>
            <w:shd w:fill="1536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0" w:lineRule="auto"/>
            </w:pPr>
            <w:r>
              <w:rPr>
                <w:b/>
                <w:color w:val="FFFFFF"/>
                <w:sz w:val="18"/>
              </w:rPr>
              <w:t>Valor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color w:val="172033"/>
                <w:sz w:val="18"/>
              </w:rPr>
              <w:t>Propietario</w:t>
            </w:r>
          </w:p>
        </w:tc>
        <w:tc>
          <w:tcPr>
            <w:tcW w:type="dxa" w:w="70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color w:val="172033"/>
                <w:sz w:val="18"/>
              </w:rPr>
              <w:t>Gerencia de Experiencia del Cliente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color w:val="172033"/>
                <w:sz w:val="18"/>
              </w:rPr>
              <w:t>Aprobador de referencia</w:t>
            </w:r>
          </w:p>
        </w:tc>
        <w:tc>
          <w:tcPr>
            <w:tcW w:type="dxa" w:w="7056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color w:val="172033"/>
                <w:sz w:val="18"/>
              </w:rPr>
              <w:t>Responsable de Conducta de Mercado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color w:val="172033"/>
                <w:sz w:val="18"/>
              </w:rPr>
              <w:t>Estado de uso</w:t>
            </w:r>
          </w:p>
        </w:tc>
        <w:tc>
          <w:tcPr>
            <w:tcW w:type="dxa" w:w="70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color w:val="172033"/>
                <w:sz w:val="18"/>
              </w:rPr>
              <w:t>Vigente en el ejercicio docente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color w:val="172033"/>
                <w:sz w:val="18"/>
              </w:rPr>
              <w:t>Publicación y aplicación</w:t>
            </w:r>
          </w:p>
        </w:tc>
        <w:tc>
          <w:tcPr>
            <w:tcW w:type="dxa" w:w="7056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color w:val="172033"/>
                <w:sz w:val="18"/>
              </w:rPr>
              <w:t>2026-10-20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color w:val="172033"/>
                <w:sz w:val="18"/>
              </w:rPr>
              <w:t>Revisor simulado</w:t>
            </w:r>
          </w:p>
        </w:tc>
        <w:tc>
          <w:tcPr>
            <w:tcW w:type="dxa" w:w="70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color w:val="172033"/>
                <w:sz w:val="18"/>
              </w:rPr>
              <w:t>Experto docente simulado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color w:val="172033"/>
                <w:sz w:val="18"/>
              </w:rPr>
              <w:t>Próxima revisión</w:t>
            </w:r>
          </w:p>
        </w:tc>
        <w:tc>
          <w:tcPr>
            <w:tcW w:type="dxa" w:w="7056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color w:val="172033"/>
                <w:sz w:val="18"/>
              </w:rPr>
              <w:t>2027-04-20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color w:val="172033"/>
                <w:sz w:val="18"/>
              </w:rPr>
              <w:t>Reemplaza</w:t>
            </w:r>
          </w:p>
        </w:tc>
        <w:tc>
          <w:tcPr>
            <w:tcW w:type="dxa" w:w="70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color w:val="172033"/>
                <w:sz w:val="18"/>
              </w:rPr>
              <w:t>MAN-ATN-02 v2 — conservado en histórico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color w:val="172033"/>
                <w:sz w:val="18"/>
              </w:rPr>
              <w:t>Acceso</w:t>
            </w:r>
          </w:p>
        </w:tc>
        <w:tc>
          <w:tcPr>
            <w:tcW w:type="dxa" w:w="7056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color w:val="172033"/>
                <w:sz w:val="18"/>
              </w:rPr>
              <w:t>COBRANZA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color w:val="172033"/>
                <w:sz w:val="18"/>
              </w:rPr>
              <w:t>Ubicación del original</w:t>
            </w:r>
          </w:p>
        </w:tc>
        <w:tc>
          <w:tcPr>
            <w:tcW w:type="dxa" w:w="70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color w:val="172033"/>
                <w:sz w:val="18"/>
              </w:rPr>
              <w:t>05_Corpus_Documental/MAN-ATN-02_v3.docx</w:t>
            </w:r>
          </w:p>
        </w:tc>
      </w:tr>
    </w:tbl>
    <w:p>
      <w:pPr>
        <w:spacing w:after="0"/>
      </w:pPr>
    </w:p>
    <w:p>
      <w:pPr>
        <w:pStyle w:val="Heading1"/>
      </w:pPr>
      <w:r>
        <w:t>Propósito</w:t>
      </w:r>
    </w:p>
    <w:p>
      <w:r>
        <w:t>Orientar la identificación y derivación de situaciones que requieren trato humano especializado durante una gestión de cobranza.</w:t>
      </w:r>
    </w:p>
    <w:p>
      <w:pPr>
        <w:pStyle w:val="Heading1"/>
      </w:pPr>
      <w:r>
        <w:t>Alcance</w:t>
      </w:r>
    </w:p>
    <w:p>
      <w:r>
        <w:t>Aplica a asesores, supervisores, personal de atención y sistemas que detectan señales de vulnerabilidad, reclamo o dificultad sensible.</w:t>
      </w:r>
    </w:p>
    <w:p>
      <w:r>
        <w:br w:type="page"/>
      </w:r>
    </w:p>
    <w:p>
      <w:pPr>
        <w:pStyle w:val="Heading1"/>
      </w:pPr>
      <w:r>
        <w:t>Reglas y procedimientos</w:t>
      </w:r>
    </w:p>
    <w:p>
      <w:pPr>
        <w:pStyle w:val="Heading2"/>
      </w:pPr>
      <w:r>
        <w:t>1 Señales de atención especial</w:t>
      </w:r>
    </w:p>
    <w:p>
      <w:r>
        <w:t>Se consideran señales relevantes una dificultad sensible comunicada por el cliente, un reclamo activo, una limitación de accesibilidad o una marca vigente en el CRM.</w:t>
      </w:r>
    </w:p>
    <w:p>
      <w:pPr>
        <w:pStyle w:val="Heading2"/>
      </w:pPr>
      <w:r>
        <w:t>2 Registro mínimo</w:t>
      </w:r>
    </w:p>
    <w:p>
      <w:r>
        <w:t>El asesor registra únicamente la información necesaria para derivar. No debe solicitar datos sensibles que no sean indispensables para atender el caso.</w:t>
      </w:r>
    </w:p>
    <w:p>
      <w:pPr>
        <w:pStyle w:val="Heading2"/>
      </w:pPr>
      <w:r>
        <w:t>3 Atención especial</w:t>
      </w:r>
    </w:p>
    <w:p>
      <w:r>
        <w:t>Los casos marcados para atención especial requieren intervención humana y no deben continuar con negociación automatizada.</w:t>
      </w:r>
    </w:p>
    <w:p>
      <w:pPr>
        <w:pStyle w:val="Heading2"/>
      </w:pPr>
      <w:r>
        <w:t>4 Derivación</w:t>
      </w:r>
    </w:p>
    <w:p>
      <w:r>
        <w:t>El sistema deriva al equipo de atención especializada de Experiencia del Cliente, registra el motivo y evita generar recordatorios. La reanudación requiere que el responsable documente el cierre o actualización de la marca en el CRM y que se vuelvan a verificar POL-COB-04 §3 y §7. Un cambio de marca no elimina otras condiciones de pausa.</w:t>
      </w:r>
    </w:p>
    <w:p>
      <w:pPr>
        <w:pStyle w:val="Heading2"/>
      </w:pPr>
      <w:r>
        <w:t>5 Comunicación</w:t>
      </w:r>
    </w:p>
    <w:p>
      <w:r>
        <w:t>La respuesta confirma la recepción de la solicitud sin emitir juicios, promesas no autorizadas ni exigencias de pago durante la pausa.</w:t>
      </w:r>
    </w:p>
    <w:p>
      <w:pPr>
        <w:pStyle w:val="Heading2"/>
      </w:pPr>
      <w:r>
        <w:t>6 Auditoría</w:t>
      </w:r>
    </w:p>
    <w:p>
      <w:r>
        <w:t>Cada consulta conserva el usuario, la marca del CRM, la fuente del manual, la decisión de derivación y la intervención posterior.</w:t>
      </w:r>
    </w:p>
    <w:p>
      <w:pPr>
        <w:pStyle w:val="Heading1"/>
      </w:pPr>
      <w:r>
        <w:t>Controles del sistema RAG</w:t>
      </w:r>
    </w:p>
    <w:p>
      <w:r>
        <w:t>Aplicar permisos y vigencia antes de recuperar. Conservar documento, versión, sección y huella del archivo en cada cita. Abstenerse si falta evidencia; las reglas de pausa y la aprobación humana se comprueban en la aplicación.</w:t>
      </w:r>
    </w:p>
    <w:p>
      <w:r>
        <w:br w:type="page"/>
      </w:r>
    </w:p>
    <w:p>
      <w:pPr>
        <w:pStyle w:val="Heading1"/>
      </w:pPr>
      <w:r>
        <w:t>Definiciones y referencias</w:t>
      </w:r>
    </w:p>
    <w:p>
      <w:r>
        <w:rPr>
          <w:b/>
        </w:rPr>
        <w:t xml:space="preserve">Saldo vigente. </w:t>
      </w:r>
      <w:r>
        <w:t>Importe consultado en la fuente operativa; no lo determina el modelo.</w:t>
      </w:r>
    </w:p>
    <w:p>
      <w:r>
        <w:rPr>
          <w:b/>
        </w:rPr>
        <w:t xml:space="preserve">Pago pendiente de conciliación. </w:t>
      </w:r>
      <w:r>
        <w:t>Pago reportado cuya aplicación todavía no ha validado Operaciones.</w:t>
      </w:r>
    </w:p>
    <w:p>
      <w:r>
        <w:rPr>
          <w:b/>
        </w:rPr>
        <w:t xml:space="preserve">Borrador informativo. </w:t>
      </w:r>
      <w:r>
        <w:t>Texto preparado para revisión, sin acuerdo ni envío autorizado por sí mismo.</w:t>
      </w:r>
    </w:p>
    <w:p>
      <w:r>
        <w:rPr>
          <w:b/>
        </w:rPr>
        <w:t xml:space="preserve">Aprobación simulada. </w:t>
      </w:r>
      <w:r>
        <w:t>Revisión ficticia que permite recorrer el flujo docente; no acredita aprobación corporativa.</w:t>
      </w:r>
    </w:p>
    <w:p>
      <w:r>
        <w:t>Las referencias siguientes identifican las versiones aplicables en este corpus. La sección se indica en cada regla. Una contradicción obliga a pausar y consultar al responsable; no se elige una regla por similitud de búsqueda.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848"/>
        <w:gridCol w:w="1872"/>
      </w:tblGrid>
      <w:tr>
        <w:trPr>
          <w:cantSplit/>
          <w:tblHeader/>
        </w:trPr>
        <w:tc>
          <w:tcPr>
            <w:tcW w:type="dxa" w:w="7848"/>
            <w:vAlign w:val="center"/>
            <w:shd w:fill="1536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0" w:lineRule="auto"/>
            </w:pPr>
            <w:r>
              <w:rPr>
                <w:b/>
                <w:color w:val="FFFFFF"/>
                <w:sz w:val="18"/>
              </w:rPr>
              <w:t>Documento relacionado</w:t>
            </w:r>
          </w:p>
        </w:tc>
        <w:tc>
          <w:tcPr>
            <w:tcW w:type="dxa" w:w="1872"/>
            <w:vAlign w:val="center"/>
            <w:shd w:fill="1536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0" w:lineRule="auto"/>
            </w:pPr>
            <w:r>
              <w:rPr>
                <w:b/>
                <w:color w:val="FFFFFF"/>
                <w:sz w:val="18"/>
              </w:rPr>
              <w:t>Versión</w:t>
            </w:r>
          </w:p>
        </w:tc>
      </w:tr>
      <w:tr>
        <w:trPr>
          <w:cantSplit/>
        </w:trPr>
        <w:tc>
          <w:tcPr>
            <w:tcW w:type="dxa" w:w="78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color w:val="172033"/>
                <w:sz w:val="18"/>
              </w:rPr>
              <w:t>POL-COB-04</w:t>
            </w:r>
          </w:p>
        </w:tc>
        <w:tc>
          <w:tcPr>
            <w:tcW w:type="dxa" w:w="18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color w:val="172033"/>
                <w:sz w:val="18"/>
              </w:rPr>
              <w:t>v4</w:t>
            </w:r>
          </w:p>
        </w:tc>
      </w:tr>
      <w:tr>
        <w:trPr>
          <w:cantSplit/>
        </w:trPr>
        <w:tc>
          <w:tcPr>
            <w:tcW w:type="dxa" w:w="7848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color w:val="172033"/>
                <w:sz w:val="18"/>
              </w:rPr>
              <w:t>POL-PAG-02</w:t>
            </w:r>
          </w:p>
        </w:tc>
        <w:tc>
          <w:tcPr>
            <w:tcW w:type="dxa" w:w="1872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color w:val="172033"/>
                <w:sz w:val="18"/>
              </w:rPr>
              <w:t>v5</w:t>
            </w:r>
          </w:p>
        </w:tc>
      </w:tr>
      <w:tr>
        <w:trPr>
          <w:cantSplit/>
        </w:trPr>
        <w:tc>
          <w:tcPr>
            <w:tcW w:type="dxa" w:w="78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color w:val="172033"/>
                <w:sz w:val="18"/>
              </w:rPr>
              <w:t>POL-PRO-03</w:t>
            </w:r>
          </w:p>
        </w:tc>
        <w:tc>
          <w:tcPr>
            <w:tcW w:type="dxa" w:w="18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color w:val="172033"/>
                <w:sz w:val="18"/>
              </w:rPr>
              <w:t>v4</w:t>
            </w:r>
          </w:p>
        </w:tc>
      </w:tr>
    </w:tbl>
    <w:p>
      <w:pPr>
        <w:spacing w:after="0"/>
      </w:pPr>
    </w:p>
    <w:p>
      <w:pPr>
        <w:pStyle w:val="Heading1"/>
      </w:pPr>
      <w:r>
        <w:t>Control y revisión documental</w:t>
      </w:r>
    </w:p>
    <w:p>
      <w:r>
        <w:t>Revisión y aprobación simuladas: Experto docente simulado, 2026-10-20. Alcance: estructura, terminología, coherencia entre las cuatro fuentes y correspondencia de los casos de Ground Truth. No acredita validación jurídica ni aprobación de una organización.</w:t>
      </w:r>
    </w:p>
    <w:p>
      <w:r>
        <w:t>El propietario revisa esta versión el 2027-04-20 o antes si cambian reglas, fuentes o permisos. Una modificación genera una nueva versión, archiva la anterior y obliga a reindexar y revalidar los casos afectados. Se conservará la evidencia de revisión.</w:t>
      </w:r>
    </w:p>
    <w:p>
      <w:pPr>
        <w:pStyle w:val="Heading1"/>
      </w:pPr>
      <w:r>
        <w:t>Historial de versiones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"/>
        <w:gridCol w:w="1440"/>
        <w:gridCol w:w="7416"/>
      </w:tblGrid>
      <w:tr>
        <w:trPr>
          <w:cantSplit/>
          <w:tblHeader/>
        </w:trPr>
        <w:tc>
          <w:tcPr>
            <w:tcW w:type="dxa" w:w="864"/>
            <w:vAlign w:val="center"/>
            <w:shd w:fill="1536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0" w:lineRule="auto"/>
            </w:pPr>
            <w:r>
              <w:rPr>
                <w:b/>
                <w:color w:val="FFFFFF"/>
                <w:sz w:val="18"/>
              </w:rPr>
              <w:t>Versión</w:t>
            </w:r>
          </w:p>
        </w:tc>
        <w:tc>
          <w:tcPr>
            <w:tcW w:type="dxa" w:w="1440"/>
            <w:vAlign w:val="center"/>
            <w:shd w:fill="1536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0" w:lineRule="auto"/>
            </w:pPr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type="dxa" w:w="7416"/>
            <w:vAlign w:val="center"/>
            <w:shd w:fill="1536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0" w:lineRule="auto"/>
            </w:pPr>
            <w:r>
              <w:rPr>
                <w:b/>
                <w:color w:val="FFFFFF"/>
                <w:sz w:val="18"/>
              </w:rPr>
              <w:t>Cambio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color w:val="172033"/>
                <w:sz w:val="18"/>
              </w:rPr>
              <w:t>v1</w:t>
            </w:r>
          </w:p>
        </w:tc>
        <w:tc>
          <w:tcPr>
            <w:tcW w:type="dxa" w:w="14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color w:val="172033"/>
                <w:sz w:val="18"/>
              </w:rPr>
              <w:t>2025-12-01</w:t>
            </w:r>
          </w:p>
        </w:tc>
        <w:tc>
          <w:tcPr>
            <w:tcW w:type="dxa" w:w="74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color w:val="172033"/>
                <w:sz w:val="18"/>
              </w:rPr>
              <w:t>Emisión inicial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color w:val="172033"/>
                <w:sz w:val="18"/>
              </w:rPr>
              <w:t>v2</w:t>
            </w:r>
          </w:p>
        </w:tc>
        <w:tc>
          <w:tcPr>
            <w:tcW w:type="dxa" w:w="1440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color w:val="172033"/>
                <w:sz w:val="18"/>
              </w:rPr>
              <w:t>2026-06-10</w:t>
            </w:r>
          </w:p>
        </w:tc>
        <w:tc>
          <w:tcPr>
            <w:tcW w:type="dxa" w:w="7416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color w:val="172033"/>
                <w:sz w:val="18"/>
              </w:rPr>
              <w:t>Se incorporó pausa de automatización y auditoría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color w:val="172033"/>
                <w:sz w:val="18"/>
              </w:rPr>
              <w:t>v3</w:t>
            </w:r>
          </w:p>
        </w:tc>
        <w:tc>
          <w:tcPr>
            <w:tcW w:type="dxa" w:w="14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color w:val="172033"/>
                <w:sz w:val="18"/>
              </w:rPr>
              <w:t>2026-10-20</w:t>
            </w:r>
          </w:p>
        </w:tc>
        <w:tc>
          <w:tcPr>
            <w:tcW w:type="dxa" w:w="74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color w:val="172033"/>
                <w:sz w:val="18"/>
              </w:rPr>
              <w:t>Se precisan condiciones, referencias, revisión documental y aprobación simulada. El linaje de procesamiento se mantiene fuera de la política.</w:t>
            </w:r>
          </w:p>
        </w:tc>
      </w:tr>
    </w:tbl>
    <w:p>
      <w:pPr>
        <w:spacing w:after="0"/>
      </w:pPr>
    </w:p>
    <w:p>
      <w:pPr>
        <w:pStyle w:val="Heading1"/>
      </w:pPr>
      <w:r>
        <w:t>Trazabilidad de la fuente</w:t>
      </w:r>
    </w:p>
    <w:p>
      <w:r>
        <w:t>Original: 05_Corpus_Documental/MAN-ATN-02_v3.docx. Versión reemplazada: historicos/2026-10-20/MAN-ATN-02_v2.docx. El mapa de secciones está en lineage_manifest.json; el registro de procesamiento real está en processing_lineage.json. Los parámetros del índice se mantienen fuera de esta política.</w:t>
      </w:r>
    </w:p>
    <w:p>
      <w:pPr>
        <w:spacing w:after="60"/>
      </w:pPr>
      <w:r>
        <w:rPr>
          <w:sz w:val="16"/>
        </w:rPr>
        <w:t>SHA-256 canónico: 636695ea184892e41329e08e4cecc138756e4c34329d6d6a9a83fc365a1c4fe7</w:t>
      </w:r>
    </w:p>
    <w:p>
      <w:r>
        <w:t>El hash canónico identifica el contenido estructurado del documento según corpus_spec.json, serializado como JSON UTF-8 con claves ordenadas y sin espacios separadores. La huella del archivo Word completo se calcula después de guardarlo y se registra por separado en el manifiesto. No son valores intercambiables.</w:t>
      </w:r>
    </w:p>
    <w:sectPr w:rsidR="00FC693F" w:rsidRPr="0006063C" w:rsidSect="00034616">
      <w:footerReference w:type="default" r:id="rId9"/>
      <w:pgSz w:w="11909" w:h="16834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666666"/>
        <w:sz w:val="16"/>
      </w:rPr>
      <w:t>MAN-ATN-02 v3 · Aprobación simulada · Uso docente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Calibri" w:hAnsi="Calibr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