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Política de cobranza temprana</w:t>
      </w:r>
    </w:p>
    <w:p>
      <w:r>
        <w:t>POL-COB-04 · v4 · Corpus sintético de clase</w:t>
      </w:r>
    </w:p>
    <w:p>
      <w:r>
        <w:t>Aprobación experta simulada para la clase. Las áreas y el revisor de este documento son ficticios; no constituye una política corporativa real.</w:t>
      </w:r>
    </w:p>
    <w:tbl>
      <w:tblPr>
        <w:tblW w:type="auto" w:w="0"/>
        <w:tblLayout w:type="fixed"/>
        <w:tblLook w:firstColumn="1" w:firstRow="1" w:lastColumn="0" w:lastRow="0" w:noHBand="0" w:noVBand="1" w:val="04A0"/>
      </w:tblPr>
      <w:tblGrid>
        <w:gridCol w:w="2664"/>
        <w:gridCol w:w="7056"/>
      </w:tblGrid>
      <w:tr>
        <w:trPr>
          <w:cantSplit/>
          <w:tblHeader/>
        </w:trPr>
        <w:tc>
          <w:tcPr>
            <w:tcW w:type="dxa" w:w="2664"/>
            <w:vAlign w:val="center"/>
            <w:shd w:fill="1536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18"/>
              </w:rPr>
              <w:t>Campo</w:t>
            </w:r>
          </w:p>
        </w:tc>
        <w:tc>
          <w:tcPr>
            <w:tcW w:type="dxa" w:w="7056"/>
            <w:vAlign w:val="center"/>
            <w:shd w:fill="1536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18"/>
              </w:rPr>
              <w:t>Valor</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172033"/>
                <w:sz w:val="18"/>
              </w:rPr>
              <w:t>Propietario</w:t>
            </w:r>
          </w:p>
        </w:tc>
        <w:tc>
          <w:tcPr>
            <w:tcW w:type="dxa" w:w="70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172033"/>
                <w:sz w:val="18"/>
              </w:rPr>
              <w:t>Gerencia de Cobranzas</w:t>
            </w:r>
          </w:p>
        </w:tc>
      </w:tr>
      <w:tr>
        <w:trPr>
          <w:cantSplit/>
        </w:trPr>
        <w:tc>
          <w:tcPr>
            <w:tcW w:type="dxa" w:w="2664"/>
            <w:vAlign w:val="center"/>
            <w:shd w:fill="F0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172033"/>
                <w:sz w:val="18"/>
              </w:rPr>
              <w:t>Aprobador de referencia</w:t>
            </w:r>
          </w:p>
        </w:tc>
        <w:tc>
          <w:tcPr>
            <w:tcW w:type="dxa" w:w="7056"/>
            <w:vAlign w:val="center"/>
            <w:shd w:fill="F0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172033"/>
                <w:sz w:val="18"/>
              </w:rPr>
              <w:t>Comité de Riesgo Operativo</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172033"/>
                <w:sz w:val="18"/>
              </w:rPr>
              <w:t>Estado de uso</w:t>
            </w:r>
          </w:p>
        </w:tc>
        <w:tc>
          <w:tcPr>
            <w:tcW w:type="dxa" w:w="70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172033"/>
                <w:sz w:val="18"/>
              </w:rPr>
              <w:t>Vigente en el ejercicio docente</w:t>
            </w:r>
          </w:p>
        </w:tc>
      </w:tr>
      <w:tr>
        <w:trPr>
          <w:cantSplit/>
        </w:trPr>
        <w:tc>
          <w:tcPr>
            <w:tcW w:type="dxa" w:w="2664"/>
            <w:vAlign w:val="center"/>
            <w:shd w:fill="F0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172033"/>
                <w:sz w:val="18"/>
              </w:rPr>
              <w:t>Publicación y aplicación</w:t>
            </w:r>
          </w:p>
        </w:tc>
        <w:tc>
          <w:tcPr>
            <w:tcW w:type="dxa" w:w="7056"/>
            <w:vAlign w:val="center"/>
            <w:shd w:fill="F0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172033"/>
                <w:sz w:val="18"/>
              </w:rPr>
              <w:t>2026-10-20</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172033"/>
                <w:sz w:val="18"/>
              </w:rPr>
              <w:t>Revisor simulado</w:t>
            </w:r>
          </w:p>
        </w:tc>
        <w:tc>
          <w:tcPr>
            <w:tcW w:type="dxa" w:w="70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172033"/>
                <w:sz w:val="18"/>
              </w:rPr>
              <w:t>Experto docente simulado</w:t>
            </w:r>
          </w:p>
        </w:tc>
      </w:tr>
      <w:tr>
        <w:trPr>
          <w:cantSplit/>
        </w:trPr>
        <w:tc>
          <w:tcPr>
            <w:tcW w:type="dxa" w:w="2664"/>
            <w:vAlign w:val="center"/>
            <w:shd w:fill="F0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172033"/>
                <w:sz w:val="18"/>
              </w:rPr>
              <w:t>Próxima revisión</w:t>
            </w:r>
          </w:p>
        </w:tc>
        <w:tc>
          <w:tcPr>
            <w:tcW w:type="dxa" w:w="7056"/>
            <w:vAlign w:val="center"/>
            <w:shd w:fill="F0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172033"/>
                <w:sz w:val="18"/>
              </w:rPr>
              <w:t>2027-04-20</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172033"/>
                <w:sz w:val="18"/>
              </w:rPr>
              <w:t>Reemplaza</w:t>
            </w:r>
          </w:p>
        </w:tc>
        <w:tc>
          <w:tcPr>
            <w:tcW w:type="dxa" w:w="70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172033"/>
                <w:sz w:val="18"/>
              </w:rPr>
              <w:t>POL-COB-04 v3 — conservado en histórico</w:t>
            </w:r>
          </w:p>
        </w:tc>
      </w:tr>
      <w:tr>
        <w:trPr>
          <w:cantSplit/>
        </w:trPr>
        <w:tc>
          <w:tcPr>
            <w:tcW w:type="dxa" w:w="2664"/>
            <w:vAlign w:val="center"/>
            <w:shd w:fill="F0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172033"/>
                <w:sz w:val="18"/>
              </w:rPr>
              <w:t>Acceso</w:t>
            </w:r>
          </w:p>
        </w:tc>
        <w:tc>
          <w:tcPr>
            <w:tcW w:type="dxa" w:w="7056"/>
            <w:vAlign w:val="center"/>
            <w:shd w:fill="F0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172033"/>
                <w:sz w:val="18"/>
              </w:rPr>
              <w:t>COBRANZA</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172033"/>
                <w:sz w:val="18"/>
              </w:rPr>
              <w:t>Ubicación del original</w:t>
            </w:r>
          </w:p>
        </w:tc>
        <w:tc>
          <w:tcPr>
            <w:tcW w:type="dxa" w:w="705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172033"/>
                <w:sz w:val="18"/>
              </w:rPr>
              <w:t>05_Corpus_Documental/POL-COB-04_v4.docx</w:t>
            </w:r>
          </w:p>
        </w:tc>
      </w:tr>
    </w:tbl>
    <w:p>
      <w:pPr>
        <w:spacing w:after="0"/>
      </w:pPr>
    </w:p>
    <w:p>
      <w:pPr>
        <w:pStyle w:val="Heading1"/>
      </w:pPr>
      <w:r>
        <w:t>Propósito</w:t>
      </w:r>
    </w:p>
    <w:p>
      <w:r>
        <w:t>Establecer las reglas para gestionar obligaciones con hasta 30 días de atraso, preservar el trato adecuado y mantener aprobación humana antes de formalizar propuestas o enviar comunicaciones.</w:t>
      </w:r>
    </w:p>
    <w:p>
      <w:pPr>
        <w:pStyle w:val="Heading1"/>
      </w:pPr>
      <w:r>
        <w:t>Alcance</w:t>
      </w:r>
    </w:p>
    <w:p>
      <w:r>
        <w:t>Aplica a asesores de cobranza, supervisores y asistentes internos que consultan obligaciones de personas o empresas dentro de la etapa temprana.</w:t>
      </w:r>
    </w:p>
    <w:p>
      <w:r>
        <w:br w:type="page"/>
      </w:r>
    </w:p>
    <w:p>
      <w:pPr>
        <w:pStyle w:val="Heading1"/>
      </w:pPr>
      <w:r>
        <w:t>Reglas y procedimientos</w:t>
      </w:r>
    </w:p>
    <w:p>
      <w:pPr>
        <w:pStyle w:val="Heading2"/>
      </w:pPr>
      <w:r>
        <w:t>1 Objeto y alcance</w:t>
      </w:r>
    </w:p>
    <w:p>
      <w:r>
        <w:t>La política regula consultas, propuestas preliminares y comunicaciones asociadas a obligaciones con hasta 30 días de atraso. No autoriza al asistente a cerrar acuerdos ni modificar condiciones contractuales.</w:t>
      </w:r>
    </w:p>
    <w:p>
      <w:pPr>
        <w:pStyle w:val="Heading2"/>
      </w:pPr>
      <w:r>
        <w:t>2 Fuentes operativas</w:t>
      </w:r>
    </w:p>
    <w:p>
      <w:r>
        <w:t>Antes de preparar una respuesta se debe consultar el saldo vigente, los días de atraso, el historial de pagos, las promesas registradas y el canal autorizado del cliente.</w:t>
      </w:r>
    </w:p>
    <w:p>
      <w:pPr>
        <w:pStyle w:val="Heading2"/>
      </w:pPr>
      <w:r>
        <w:t>3 Condiciones de contacto</w:t>
      </w:r>
    </w:p>
    <w:p>
      <w:r>
        <w:t>El contacto solo puede prepararse para una obligación con 1 a 30 días de atraso y saldo vencido positivo, sin pago pendiente de conciliación, promesa incumplida ni marca vigente de atención especial. Deben cumplirse además las secciones 5, 6 y 7. Para más de 30 días se deriva al supervisor.</w:t>
      </w:r>
    </w:p>
    <w:p>
      <w:pPr>
        <w:pStyle w:val="Heading2"/>
      </w:pPr>
      <w:r>
        <w:t>4 Propuestas preliminares</w:t>
      </w:r>
    </w:p>
    <w:p>
      <w:r>
        <w:t>El asistente solo prepara borradores informativos para revisión humana. Esta demo no dispone de una tabla aprobada de descuentos, cuotas o prórrogas; por ello no puede proponer valores para esas condiciones. Para habilitarlos se requiere un anexo identificado por código, versión y vigencia, aprobado por el responsable.</w:t>
      </w:r>
    </w:p>
    <w:p>
      <w:pPr>
        <w:pStyle w:val="Heading2"/>
      </w:pPr>
      <w:r>
        <w:t>5 Gestión temprana</w:t>
      </w:r>
    </w:p>
    <w:p>
      <w:r>
        <w:t>Para atrasos de hasta 30 días, el agente puede preparar una propuesta dentro de los rangos autorizados. La confirmación requiere un responsable humano. En esta demo no existen rangos numéricos habilitados: solo se admite un borrador informativo que conserve el saldo consultado. Aplican las condiciones de la sección 3 y las excepciones de la sección 7.</w:t>
      </w:r>
    </w:p>
    <w:p>
      <w:pPr>
        <w:pStyle w:val="Heading2"/>
      </w:pPr>
      <w:r>
        <w:t>6 Canales y trazabilidad</w:t>
      </w:r>
    </w:p>
    <w:p>
      <w:r>
        <w:t>Los recordatorios se envían únicamente al correo o número autorizado. Se registra la consulta, las fuentes utilizadas, la versión de la política, la aprobación y el resultado del envío.</w:t>
      </w:r>
    </w:p>
    <w:p>
      <w:pPr>
        <w:pStyle w:val="Heading2"/>
      </w:pPr>
      <w:r>
        <w:t>7 Excepciones</w:t>
      </w:r>
    </w:p>
    <w:p>
      <w:r>
        <w:t>Un pago pendiente, una promesa incumplida, información contradictoria o una marca de atención especial obliga a pausar el flujo y derivar el caso. La conciliación se rige por POL-PAG-02 §4; la atención especial por MAN-ATN-02 §3; y las promesas incumplidas por POL-PRO-03 §7. Estas pausas prevalecen sobre la preparación de contacto.</w:t>
      </w:r>
    </w:p>
    <w:p>
      <w:pPr>
        <w:pStyle w:val="Heading1"/>
      </w:pPr>
      <w:r>
        <w:t>Controles del sistema RAG</w:t>
      </w:r>
    </w:p>
    <w:p>
      <w:r>
        <w:t>Aplicar permisos y vigencia antes de recuperar. Conservar documento, versión, sección y huella del archivo en cada cita. Abstenerse si falta evidencia; las reglas de pausa y la aprobación humana se comprueban en la aplicación.</w:t>
      </w:r>
    </w:p>
    <w:p>
      <w:r>
        <w:br w:type="page"/>
      </w:r>
    </w:p>
    <w:p>
      <w:pPr>
        <w:pStyle w:val="Heading1"/>
      </w:pPr>
      <w:r>
        <w:t>Definiciones y referencias</w:t>
      </w:r>
    </w:p>
    <w:p>
      <w:r>
        <w:rPr>
          <w:b/>
        </w:rPr>
        <w:t xml:space="preserve">Saldo vigente. </w:t>
      </w:r>
      <w:r>
        <w:t>Importe consultado en la fuente operativa; no lo determina el modelo.</w:t>
      </w:r>
    </w:p>
    <w:p>
      <w:r>
        <w:rPr>
          <w:b/>
        </w:rPr>
        <w:t xml:space="preserve">Pago pendiente de conciliación. </w:t>
      </w:r>
      <w:r>
        <w:t>Pago reportado cuya aplicación todavía no ha validado Operaciones.</w:t>
      </w:r>
    </w:p>
    <w:p>
      <w:r>
        <w:rPr>
          <w:b/>
        </w:rPr>
        <w:t xml:space="preserve">Borrador informativo. </w:t>
      </w:r>
      <w:r>
        <w:t>Texto preparado para revisión, sin acuerdo ni envío autorizado por sí mismo.</w:t>
      </w:r>
    </w:p>
    <w:p>
      <w:r>
        <w:rPr>
          <w:b/>
        </w:rPr>
        <w:t xml:space="preserve">Aprobación simulada. </w:t>
      </w:r>
      <w:r>
        <w:t>Revisión ficticia que permite recorrer el flujo docente; no acredita aprobación corporativa.</w:t>
      </w:r>
    </w:p>
    <w:p>
      <w:r>
        <w:t>Las referencias siguientes identifican las versiones aplicables en este corpus. La sección se indica en cada regla. Una contradicción obliga a pausar y consultar al responsable; no se elige una regla por similitud de búsqueda.</w:t>
      </w:r>
    </w:p>
    <w:tbl>
      <w:tblPr>
        <w:tblW w:type="auto" w:w="0"/>
        <w:tblLayout w:type="fixed"/>
        <w:tblLook w:firstColumn="1" w:firstRow="1" w:lastColumn="0" w:lastRow="0" w:noHBand="0" w:noVBand="1" w:val="04A0"/>
      </w:tblPr>
      <w:tblGrid>
        <w:gridCol w:w="7848"/>
        <w:gridCol w:w="1872"/>
      </w:tblGrid>
      <w:tr>
        <w:trPr>
          <w:cantSplit/>
          <w:tblHeader/>
        </w:trPr>
        <w:tc>
          <w:tcPr>
            <w:tcW w:type="dxa" w:w="7848"/>
            <w:vAlign w:val="center"/>
            <w:shd w:fill="1536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18"/>
              </w:rPr>
              <w:t>Documento relacionado</w:t>
            </w:r>
          </w:p>
        </w:tc>
        <w:tc>
          <w:tcPr>
            <w:tcW w:type="dxa" w:w="1872"/>
            <w:vAlign w:val="center"/>
            <w:shd w:fill="1536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18"/>
              </w:rPr>
              <w:t>Versión</w:t>
            </w:r>
          </w:p>
        </w:tc>
      </w:tr>
      <w:tr>
        <w:trPr>
          <w:cantSplit/>
        </w:trPr>
        <w:tc>
          <w:tcPr>
            <w:tcW w:type="dxa" w:w="78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172033"/>
                <w:sz w:val="18"/>
              </w:rPr>
              <w:t>POL-PAG-02</w:t>
            </w:r>
          </w:p>
        </w:tc>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172033"/>
                <w:sz w:val="18"/>
              </w:rPr>
              <w:t>v5</w:t>
            </w:r>
          </w:p>
        </w:tc>
      </w:tr>
      <w:tr>
        <w:trPr>
          <w:cantSplit/>
        </w:trPr>
        <w:tc>
          <w:tcPr>
            <w:tcW w:type="dxa" w:w="7848"/>
            <w:vAlign w:val="center"/>
            <w:shd w:fill="F0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172033"/>
                <w:sz w:val="18"/>
              </w:rPr>
              <w:t>MAN-ATN-02</w:t>
            </w:r>
          </w:p>
        </w:tc>
        <w:tc>
          <w:tcPr>
            <w:tcW w:type="dxa" w:w="1872"/>
            <w:vAlign w:val="center"/>
            <w:shd w:fill="F0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172033"/>
                <w:sz w:val="18"/>
              </w:rPr>
              <w:t>v3</w:t>
            </w:r>
          </w:p>
        </w:tc>
      </w:tr>
      <w:tr>
        <w:trPr>
          <w:cantSplit/>
        </w:trPr>
        <w:tc>
          <w:tcPr>
            <w:tcW w:type="dxa" w:w="7848"/>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172033"/>
                <w:sz w:val="18"/>
              </w:rPr>
              <w:t>POL-PRO-03</w:t>
            </w:r>
          </w:p>
        </w:tc>
        <w:tc>
          <w:tcPr>
            <w:tcW w:type="dxa" w:w="1872"/>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172033"/>
                <w:sz w:val="18"/>
              </w:rPr>
              <w:t>v4</w:t>
            </w:r>
          </w:p>
        </w:tc>
      </w:tr>
    </w:tbl>
    <w:p>
      <w:pPr>
        <w:spacing w:after="0"/>
      </w:pPr>
    </w:p>
    <w:p>
      <w:pPr>
        <w:pStyle w:val="Heading1"/>
      </w:pPr>
      <w:r>
        <w:t>Control y revisión documental</w:t>
      </w:r>
    </w:p>
    <w:p>
      <w:r>
        <w:t>Revisión y aprobación simuladas: Experto docente simulado, 2026-10-20. Alcance: estructura, terminología, coherencia entre las cuatro fuentes y correspondencia de los casos de Ground Truth. No acredita validación jurídica ni aprobación de una organización.</w:t>
      </w:r>
    </w:p>
    <w:p>
      <w:r>
        <w:t>El propietario revisa esta versión el 2027-04-20 o antes si cambian reglas, fuentes o permisos. Una modificación genera una nueva versión, archiva la anterior y obliga a reindexar y revalidar los casos afectados. Se conservará la evidencia de revisión.</w:t>
      </w:r>
    </w:p>
    <w:p>
      <w:pPr>
        <w:pStyle w:val="Heading1"/>
      </w:pPr>
      <w:r>
        <w:t>Historial de versiones</w:t>
      </w:r>
    </w:p>
    <w:tbl>
      <w:tblPr>
        <w:tblW w:type="auto" w:w="0"/>
        <w:tblLayout w:type="fixed"/>
        <w:tblLook w:firstColumn="1" w:firstRow="1" w:lastColumn="0" w:lastRow="0" w:noHBand="0" w:noVBand="1" w:val="04A0"/>
      </w:tblPr>
      <w:tblGrid>
        <w:gridCol w:w="864"/>
        <w:gridCol w:w="1440"/>
        <w:gridCol w:w="7416"/>
      </w:tblGrid>
      <w:tr>
        <w:trPr>
          <w:cantSplit/>
          <w:tblHeader/>
        </w:trPr>
        <w:tc>
          <w:tcPr>
            <w:tcW w:type="dxa" w:w="864"/>
            <w:vAlign w:val="center"/>
            <w:shd w:fill="1536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18"/>
              </w:rPr>
              <w:t>Versión</w:t>
            </w:r>
          </w:p>
        </w:tc>
        <w:tc>
          <w:tcPr>
            <w:tcW w:type="dxa" w:w="1440"/>
            <w:vAlign w:val="center"/>
            <w:shd w:fill="1536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18"/>
              </w:rPr>
              <w:t>Fecha</w:t>
            </w:r>
          </w:p>
        </w:tc>
        <w:tc>
          <w:tcPr>
            <w:tcW w:type="dxa" w:w="7416"/>
            <w:vAlign w:val="center"/>
            <w:shd w:fill="15365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color w:val="FFFFFF"/>
                <w:sz w:val="18"/>
              </w:rPr>
              <w:t>Cambio</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172033"/>
                <w:sz w:val="18"/>
              </w:rPr>
              <w:t>v1</w:t>
            </w:r>
          </w:p>
        </w:tc>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172033"/>
                <w:sz w:val="18"/>
              </w:rPr>
              <w:t>2025-09-01</w:t>
            </w:r>
          </w:p>
        </w:tc>
        <w:tc>
          <w:tcPr>
            <w:tcW w:type="dxa" w:w="74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172033"/>
                <w:sz w:val="18"/>
              </w:rPr>
              <w:t>Emisión inicial</w:t>
            </w:r>
          </w:p>
        </w:tc>
      </w:tr>
      <w:tr>
        <w:trPr>
          <w:cantSplit/>
        </w:trPr>
        <w:tc>
          <w:tcPr>
            <w:tcW w:type="dxa" w:w="864"/>
            <w:vAlign w:val="center"/>
            <w:shd w:fill="F0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172033"/>
                <w:sz w:val="18"/>
              </w:rPr>
              <w:t>v2</w:t>
            </w:r>
          </w:p>
        </w:tc>
        <w:tc>
          <w:tcPr>
            <w:tcW w:type="dxa" w:w="1440"/>
            <w:vAlign w:val="center"/>
            <w:shd w:fill="F0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172033"/>
                <w:sz w:val="18"/>
              </w:rPr>
              <w:t>2026-02-15</w:t>
            </w:r>
          </w:p>
        </w:tc>
        <w:tc>
          <w:tcPr>
            <w:tcW w:type="dxa" w:w="7416"/>
            <w:vAlign w:val="center"/>
            <w:shd w:fill="F0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172033"/>
                <w:sz w:val="18"/>
              </w:rPr>
              <w:t>Se incorporaron controles de canales</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172033"/>
                <w:sz w:val="18"/>
              </w:rPr>
              <w:t>v3</w:t>
            </w:r>
          </w:p>
        </w:tc>
        <w:tc>
          <w:tcPr>
            <w:tcW w:type="dxa" w:w="1440"/>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172033"/>
                <w:sz w:val="18"/>
              </w:rPr>
              <w:t>2026-08-01</w:t>
            </w:r>
          </w:p>
        </w:tc>
        <w:tc>
          <w:tcPr>
            <w:tcW w:type="dxa" w:w="7416"/>
            <w:vAlign w:val="center"/>
            <w:shd w:fill="FFFFFF"/>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172033"/>
                <w:sz w:val="18"/>
              </w:rPr>
              <w:t>Se añadió aprobación humana y trazabilidad RAG</w:t>
            </w:r>
          </w:p>
        </w:tc>
      </w:tr>
      <w:tr>
        <w:trPr>
          <w:cantSplit/>
        </w:trPr>
        <w:tc>
          <w:tcPr>
            <w:tcW w:type="dxa" w:w="864"/>
            <w:vAlign w:val="center"/>
            <w:shd w:fill="F0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172033"/>
                <w:sz w:val="18"/>
              </w:rPr>
              <w:t>v4</w:t>
            </w:r>
          </w:p>
        </w:tc>
        <w:tc>
          <w:tcPr>
            <w:tcW w:type="dxa" w:w="1440"/>
            <w:vAlign w:val="center"/>
            <w:shd w:fill="F0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172033"/>
                <w:sz w:val="18"/>
              </w:rPr>
              <w:t>2026-10-20</w:t>
            </w:r>
          </w:p>
        </w:tc>
        <w:tc>
          <w:tcPr>
            <w:tcW w:type="dxa" w:w="7416"/>
            <w:vAlign w:val="center"/>
            <w:shd w:fill="F0F4F7"/>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color w:val="172033"/>
                <w:sz w:val="18"/>
              </w:rPr>
              <w:t>Se precisan condiciones, referencias, revisión documental y aprobación simulada. El linaje de procesamiento se mantiene fuera de la política.</w:t>
            </w:r>
          </w:p>
        </w:tc>
      </w:tr>
    </w:tbl>
    <w:p>
      <w:pPr>
        <w:spacing w:after="0"/>
      </w:pPr>
    </w:p>
    <w:p>
      <w:pPr>
        <w:pStyle w:val="Heading1"/>
      </w:pPr>
      <w:r>
        <w:t>Trazabilidad de la fuente</w:t>
      </w:r>
    </w:p>
    <w:p>
      <w:r>
        <w:t>Original: 05_Corpus_Documental/POL-COB-04_v4.docx. Versión reemplazada: historicos/2026-10-20/POL-COB-04_v3.docx. El mapa de secciones está en lineage_manifest.json; el registro de procesamiento real está en processing_lineage.json. Los parámetros del índice se mantienen fuera de esta política.</w:t>
      </w:r>
    </w:p>
    <w:p>
      <w:pPr>
        <w:spacing w:after="60"/>
      </w:pPr>
      <w:r>
        <w:rPr>
          <w:sz w:val="16"/>
        </w:rPr>
        <w:t>SHA-256 canónico: 69633422eaeb86f36e0e4a94f310bc64a98ae1321607aacfdd50fcc73f5ac501</w:t>
      </w:r>
    </w:p>
    <w:p>
      <w:r>
        <w:t>El hash canónico identifica el contenido estructurado del documento según corpus_spec.json, serializado como JSON UTF-8 con claves ordenadas y sin espacios separadores. La huella del archivo Word completo se calcula después de guardarlo y se registra por separado en el manifiesto. No son valores intercambiables.</w:t>
      </w:r>
    </w:p>
    <w:sectPr w:rsidR="00FC693F" w:rsidRPr="0006063C" w:rsidSect="00034616">
      <w:footerReference w:type="default" r:id="rId9"/>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POL-COB-04 v4 · Aprobación simulada · Uso docente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