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aplicación y conciliación de pagos</w:t>
      </w:r>
    </w:p>
    <w:p>
      <w:r>
        <w:t>POL-PAG-02 · v5 · Corpus sintético de clase</w:t>
      </w:r>
    </w:p>
    <w:p>
      <w:r>
        <w:t>Aprobación experta simulada para la clase. Las áreas y el revisor de este documento son ficticios; no constituye una política corporativa real.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7056"/>
      </w:tblGrid>
      <w:tr>
        <w:trPr>
          <w:cantSplit/>
          <w:tblHeader/>
        </w:trPr>
        <w:tc>
          <w:tcPr>
            <w:tcW w:type="dxa" w:w="2664"/>
            <w:vAlign w:val="center"/>
            <w:shd w:fill="153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056"/>
            <w:vAlign w:val="center"/>
            <w:shd w:fill="153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Propietario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Gerencia de Operaciones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Aprobador de referencia</w:t>
            </w:r>
          </w:p>
        </w:tc>
        <w:tc>
          <w:tcPr>
            <w:tcW w:type="dxa" w:w="705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Jefatura de Finanzas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Estado de uso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Vigente en el ejercicio docente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Publicación y aplicación</w:t>
            </w:r>
          </w:p>
        </w:tc>
        <w:tc>
          <w:tcPr>
            <w:tcW w:type="dxa" w:w="705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2026-10-20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Revisor simulado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Experto docente simulado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Próxima revisión</w:t>
            </w:r>
          </w:p>
        </w:tc>
        <w:tc>
          <w:tcPr>
            <w:tcW w:type="dxa" w:w="705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2027-04-20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Reemplaza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POL-PAG-02 v4 — conservado en histórico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Acceso</w:t>
            </w:r>
          </w:p>
        </w:tc>
        <w:tc>
          <w:tcPr>
            <w:tcW w:type="dxa" w:w="705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COBRANZA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Ubicación del original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05_Corpus_Documental/POL-PAG-02_v5.docx</w:t>
            </w:r>
          </w:p>
        </w:tc>
      </w:tr>
    </w:tbl>
    <w:p>
      <w:pPr>
        <w:spacing w:after="0"/>
      </w:pPr>
    </w:p>
    <w:p>
      <w:pPr>
        <w:pStyle w:val="Heading1"/>
      </w:pPr>
      <w:r>
        <w:t>Propósito</w:t>
      </w:r>
    </w:p>
    <w:p>
      <w:r>
        <w:t>Definir cómo registrar, conciliar y aplicar pagos reportados, evitando comunicaciones de cobranza mientras exista evidencia pendiente de validación.</w:t>
      </w:r>
    </w:p>
    <w:p>
      <w:pPr>
        <w:pStyle w:val="Heading1"/>
      </w:pPr>
      <w:r>
        <w:t>Alcance</w:t>
      </w:r>
    </w:p>
    <w:p>
      <w:r>
        <w:t>Aplica a Operaciones, Tesorería, Cobranzas y asistentes que consultan pagos recibidos o comprobantes enviados por clientes.</w:t>
      </w:r>
    </w:p>
    <w:p>
      <w:r>
        <w:br w:type="page"/>
      </w:r>
    </w:p>
    <w:p>
      <w:pPr>
        <w:pStyle w:val="Heading1"/>
      </w:pPr>
      <w:r>
        <w:t>Reglas y procedimientos</w:t>
      </w:r>
    </w:p>
    <w:p>
      <w:pPr>
        <w:pStyle w:val="Heading2"/>
      </w:pPr>
      <w:r>
        <w:t>1 Principio de aplicación</w:t>
      </w:r>
    </w:p>
    <w:p>
      <w:r>
        <w:t>Un pago modifica el saldo únicamente después de que Operaciones valide su correspondencia con la obligación y registre la aplicación.</w:t>
      </w:r>
    </w:p>
    <w:p>
      <w:pPr>
        <w:pStyle w:val="Heading2"/>
      </w:pPr>
      <w:r>
        <w:t>2 Evidencia admitida</w:t>
      </w:r>
    </w:p>
    <w:p>
      <w:r>
        <w:t>El sistema puede registrar el número de operación, fecha, importe, entidad receptora y comprobante. La recepción del comprobante no equivale a conciliación.</w:t>
      </w:r>
    </w:p>
    <w:p>
      <w:pPr>
        <w:pStyle w:val="Heading2"/>
      </w:pPr>
      <w:r>
        <w:t>3 Estados del pago</w:t>
      </w:r>
    </w:p>
    <w:p>
      <w:r>
        <w:t>Los estados permitidos son informado, pendiente de conciliación, aplicado, observado y rechazado. Cada cambio conserva fecha, responsable y evidencia.</w:t>
      </w:r>
    </w:p>
    <w:p>
      <w:pPr>
        <w:pStyle w:val="Heading2"/>
      </w:pPr>
      <w:r>
        <w:t>4 Conciliación</w:t>
      </w:r>
    </w:p>
    <w:p>
      <w:r>
        <w:t>Cuando existe un pago pendiente de conciliación se debe pausar el contacto de cobranza y derivar el caso a Operaciones. La pausa comprende recordatorios de pago por correo y WhatsApp; no impide una comunicación de atención que solicite evidencia sin exigir el pago.</w:t>
      </w:r>
    </w:p>
    <w:p>
      <w:pPr>
        <w:pStyle w:val="Heading2"/>
      </w:pPr>
      <w:r>
        <w:t>5 Reanudación</w:t>
      </w:r>
    </w:p>
    <w:p>
      <w:r>
        <w:t>La gestión puede reanudarse cuando el pago se aplica o cuando Operaciones documenta que la evidencia no corresponde a la obligación consultada. Antes de reanudar, se vuelve a consultar el saldo y se verifican las condiciones de POL-COB-04 §3 y §7. Un saldo sin deuda vencida o una condición de pausa aún vigente impide el recordatorio.</w:t>
      </w:r>
    </w:p>
    <w:p>
      <w:pPr>
        <w:pStyle w:val="Heading2"/>
      </w:pPr>
      <w:r>
        <w:t>6 Control del asistente</w:t>
      </w:r>
    </w:p>
    <w:p>
      <w:r>
        <w:t>El asistente no recalcula saldos ni declara un pago aplicado. Debe mostrar el estado registrado, citar esta política y explicar la derivación. El saldo proviene de la consulta operativa actualizada; la aplicación o rechazo del pago corresponde a Operaciones.</w:t>
      </w:r>
    </w:p>
    <w:p>
      <w:pPr>
        <w:pStyle w:val="Heading1"/>
      </w:pPr>
      <w:r>
        <w:t>Controles del sistema RAG</w:t>
      </w:r>
    </w:p>
    <w:p>
      <w:r>
        <w:t>Aplicar permisos y vigencia antes de recuperar. Conservar documento, versión, sección y huella del archivo en cada cita. Abstenerse si falta evidencia; las reglas de pausa y la aprobación humana se comprueban en la aplicación.</w:t>
      </w:r>
    </w:p>
    <w:p>
      <w:r>
        <w:br w:type="page"/>
      </w:r>
    </w:p>
    <w:p>
      <w:pPr>
        <w:pStyle w:val="Heading1"/>
      </w:pPr>
      <w:r>
        <w:t>Definiciones y referencias</w:t>
      </w:r>
    </w:p>
    <w:p>
      <w:r>
        <w:rPr>
          <w:b/>
        </w:rPr>
        <w:t xml:space="preserve">Saldo vigente. </w:t>
      </w:r>
      <w:r>
        <w:t>Importe consultado en la fuente operativa; no lo determina el modelo.</w:t>
      </w:r>
    </w:p>
    <w:p>
      <w:r>
        <w:rPr>
          <w:b/>
        </w:rPr>
        <w:t xml:space="preserve">Pago pendiente de conciliación. </w:t>
      </w:r>
      <w:r>
        <w:t>Pago reportado cuya aplicación todavía no ha validado Operaciones.</w:t>
      </w:r>
    </w:p>
    <w:p>
      <w:r>
        <w:rPr>
          <w:b/>
        </w:rPr>
        <w:t xml:space="preserve">Borrador informativo. </w:t>
      </w:r>
      <w:r>
        <w:t>Texto preparado para revisión, sin acuerdo ni envío autorizado por sí mismo.</w:t>
      </w:r>
    </w:p>
    <w:p>
      <w:r>
        <w:rPr>
          <w:b/>
        </w:rPr>
        <w:t xml:space="preserve">Aprobación simulada. </w:t>
      </w:r>
      <w:r>
        <w:t>Revisión ficticia que permite recorrer el flujo docente; no acredita aprobación corporativa.</w:t>
      </w:r>
    </w:p>
    <w:p>
      <w:r>
        <w:t>Las referencias siguientes identifican las versiones aplicables en este corpus. La sección se indica en cada regla. Una contradicción obliga a pausar y consultar al responsable; no se elige una regla por similitud de búsqueda.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1872"/>
      </w:tblGrid>
      <w:tr>
        <w:trPr>
          <w:cantSplit/>
          <w:tblHeader/>
        </w:trPr>
        <w:tc>
          <w:tcPr>
            <w:tcW w:type="dxa" w:w="7848"/>
            <w:vAlign w:val="center"/>
            <w:shd w:fill="153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Documento relacionado</w:t>
            </w:r>
          </w:p>
        </w:tc>
        <w:tc>
          <w:tcPr>
            <w:tcW w:type="dxa" w:w="1872"/>
            <w:vAlign w:val="center"/>
            <w:shd w:fill="153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POL-COB-04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v4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MAN-ATN-02</w:t>
            </w:r>
          </w:p>
        </w:tc>
        <w:tc>
          <w:tcPr>
            <w:tcW w:type="dxa" w:w="187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v3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POL-PRO-03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v4</w:t>
            </w:r>
          </w:p>
        </w:tc>
      </w:tr>
    </w:tbl>
    <w:p>
      <w:pPr>
        <w:spacing w:after="0"/>
      </w:pPr>
    </w:p>
    <w:p>
      <w:pPr>
        <w:pStyle w:val="Heading1"/>
      </w:pPr>
      <w:r>
        <w:t>Control y revisión documental</w:t>
      </w:r>
    </w:p>
    <w:p>
      <w:r>
        <w:t>Revisión y aprobación simuladas: Experto docente simulado, 2026-10-20. Alcance: estructura, terminología, coherencia entre las cuatro fuentes y correspondencia de los casos de Ground Truth. No acredita validación jurídica ni aprobación de una organización.</w:t>
      </w:r>
    </w:p>
    <w:p>
      <w:r>
        <w:t>El propietario revisa esta versión el 2027-04-20 o antes si cambian reglas, fuentes o permisos. Una modificación genera una nueva versión, archiva la anterior y obliga a reindexar y revalidar los casos afectados. Se conservará la evidencia de revisión.</w:t>
      </w:r>
    </w:p>
    <w:p>
      <w:pPr>
        <w:pStyle w:val="Heading1"/>
      </w:pPr>
      <w:r>
        <w:t>Historial de versiones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440"/>
        <w:gridCol w:w="7416"/>
      </w:tblGrid>
      <w:tr>
        <w:trPr>
          <w:cantSplit/>
          <w:tblHeader/>
        </w:trPr>
        <w:tc>
          <w:tcPr>
            <w:tcW w:type="dxa" w:w="864"/>
            <w:vAlign w:val="center"/>
            <w:shd w:fill="153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440"/>
            <w:vAlign w:val="center"/>
            <w:shd w:fill="153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7416"/>
            <w:vAlign w:val="center"/>
            <w:shd w:fill="153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Cambio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v2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2025-11-10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Se formalizaron estados de pago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v3</w:t>
            </w:r>
          </w:p>
        </w:tc>
        <w:tc>
          <w:tcPr>
            <w:tcW w:type="dxa" w:w="144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2026-03-05</w:t>
            </w:r>
          </w:p>
        </w:tc>
        <w:tc>
          <w:tcPr>
            <w:tcW w:type="dxa" w:w="741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Se agregó evidencia digital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v4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2026-07-15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Se añadió pausa automática y derivación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v5</w:t>
            </w:r>
          </w:p>
        </w:tc>
        <w:tc>
          <w:tcPr>
            <w:tcW w:type="dxa" w:w="144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2026-10-20</w:t>
            </w:r>
          </w:p>
        </w:tc>
        <w:tc>
          <w:tcPr>
            <w:tcW w:type="dxa" w:w="741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Se precisan condiciones, referencias, revisión documental y aprobación simulada. El linaje de procesamiento se mantiene fuera de la política.</w:t>
            </w:r>
          </w:p>
        </w:tc>
      </w:tr>
    </w:tbl>
    <w:p>
      <w:pPr>
        <w:spacing w:after="0"/>
      </w:pPr>
    </w:p>
    <w:p>
      <w:pPr>
        <w:pStyle w:val="Heading1"/>
      </w:pPr>
      <w:r>
        <w:t>Trazabilidad de la fuente</w:t>
      </w:r>
    </w:p>
    <w:p>
      <w:r>
        <w:t>Original: 05_Corpus_Documental/POL-PAG-02_v5.docx. Versión reemplazada: historicos/2026-10-20/POL-PAG-02_v4.docx. El mapa de secciones está en lineage_manifest.json; el registro de procesamiento real está en processing_lineage.json. Los parámetros del índice se mantienen fuera de esta política.</w:t>
      </w:r>
    </w:p>
    <w:p>
      <w:pPr>
        <w:spacing w:after="60"/>
      </w:pPr>
      <w:r>
        <w:rPr>
          <w:sz w:val="16"/>
        </w:rPr>
        <w:t>SHA-256 canónico: 58f290ed4e8f2bc38a879c5814917a8f7c7c11040d3553823176ea64ad60105f</w:t>
      </w:r>
    </w:p>
    <w:p>
      <w:r>
        <w:t>El hash canónico identifica el contenido estructurado del documento según corpus_spec.json, serializado como JSON UTF-8 con claves ordenadas y sin espacios separadores. La huella del archivo Word completo se calcula después de guardarlo y se registra por separado en el manifiesto. No son valores intercambiables.</w:t>
      </w:r>
    </w:p>
    <w:sectPr w:rsidR="00FC693F" w:rsidRPr="0006063C" w:rsidSect="00034616">
      <w:footerReference w:type="default" r:id="rId9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POL-PAG-02 v5 · Aprobación simulada · Uso docente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