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promesas de pago</w:t>
      </w:r>
    </w:p>
    <w:p>
      <w:r>
        <w:t>POL-PRO-03 · v4 · Corpus sintético de clase</w:t>
      </w:r>
    </w:p>
    <w:p>
      <w:r>
        <w:t>Aprobación experta simulada para la clase. Las áreas y el revisor de este documento son ficticios; no constituye una política corporativa real.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7056"/>
      </w:tblGrid>
      <w:tr>
        <w:trPr>
          <w:cantSplit/>
          <w:tblHeader/>
        </w:trPr>
        <w:tc>
          <w:tcPr>
            <w:tcW w:type="dxa" w:w="2664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56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Propietario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Gerencia de Cobranzas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Aprobador de referencia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Comité de Riesgo Operativo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Estado de uso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Vigente en el ejercicio docente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Publicación y aplicación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2026-10-20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Revisor simulado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Experto docente simulado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Próxima revisión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2027-04-20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Reemplaza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POL-PRO-03 v3 — conservado en histórico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Acceso</w:t>
            </w:r>
          </w:p>
        </w:tc>
        <w:tc>
          <w:tcPr>
            <w:tcW w:type="dxa" w:w="705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COBRANZA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Ubicación del original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05_Corpus_Documental/POL-PRO-03_v4.docx</w:t>
            </w:r>
          </w:p>
        </w:tc>
      </w:tr>
    </w:tbl>
    <w:p>
      <w:pPr>
        <w:spacing w:after="0"/>
      </w:pPr>
    </w:p>
    <w:p>
      <w:pPr>
        <w:pStyle w:val="Heading1"/>
      </w:pPr>
      <w:r>
        <w:t>Propósito</w:t>
      </w:r>
    </w:p>
    <w:p>
      <w:r>
        <w:t>Regular el registro, seguimiento y revisión de promesas de pago para evitar propuestas incompatibles con el historial del cliente.</w:t>
      </w:r>
    </w:p>
    <w:p>
      <w:pPr>
        <w:pStyle w:val="Heading1"/>
      </w:pPr>
      <w:r>
        <w:t>Alcance</w:t>
      </w:r>
    </w:p>
    <w:p>
      <w:r>
        <w:t>Aplica a promesas registradas durante gestiones de cobranza y a las consultas que preparan alternativas de pago.</w:t>
      </w:r>
    </w:p>
    <w:p>
      <w:r>
        <w:br w:type="page"/>
      </w:r>
    </w:p>
    <w:p>
      <w:pPr>
        <w:pStyle w:val="Heading1"/>
      </w:pPr>
      <w:r>
        <w:t>Reglas y procedimientos</w:t>
      </w:r>
    </w:p>
    <w:p>
      <w:pPr>
        <w:pStyle w:val="Heading2"/>
      </w:pPr>
      <w:r>
        <w:t>1 Registro de la promesa</w:t>
      </w:r>
    </w:p>
    <w:p>
      <w:r>
        <w:t>La promesa debe incluir importe, fecha comprometida, obligación relacionada, canal, asesor y confirmación del cliente.</w:t>
      </w:r>
    </w:p>
    <w:p>
      <w:pPr>
        <w:pStyle w:val="Heading2"/>
      </w:pPr>
      <w:r>
        <w:t>2 Estados permitidos</w:t>
      </w:r>
    </w:p>
    <w:p>
      <w:r>
        <w:t>Los estados son pendiente, cumplida, cumplida parcialmente, vencida, incumplida y anulada con sustento.</w:t>
      </w:r>
    </w:p>
    <w:p>
      <w:pPr>
        <w:pStyle w:val="Heading2"/>
      </w:pPr>
      <w:r>
        <w:t>3 Seguimiento</w:t>
      </w:r>
    </w:p>
    <w:p>
      <w:r>
        <w:t>El sistema puede preparar un recordatorio de una promesa vigente dentro del canal autorizado, sin cambiar el importe ni la fecha acordada. Requiere aprobación humana y las condiciones de POL-COB-04 §3 y §7; un pago pendiente o una marca de atención especial impide el envío.</w:t>
      </w:r>
    </w:p>
    <w:p>
      <w:pPr>
        <w:pStyle w:val="Heading2"/>
      </w:pPr>
      <w:r>
        <w:t>4 Cumplimiento parcial</w:t>
      </w:r>
    </w:p>
    <w:p>
      <w:r>
        <w:t>Un pago parcial se deriva a conciliación antes de actualizar el estado de la promesa o calcular un saldo restante. Aplican POL-PAG-02 §4 y §5; el nuevo saldo se consulta en la fuente operativa después de la aplicación.</w:t>
      </w:r>
    </w:p>
    <w:p>
      <w:pPr>
        <w:pStyle w:val="Heading2"/>
      </w:pPr>
      <w:r>
        <w:t>5 Nueva alternativa</w:t>
      </w:r>
    </w:p>
    <w:p>
      <w:r>
        <w:t>Una nueva alternativa requiere revisar capacidad e historial. Esta demo no habilita descuentos, cuotas ni prórrogas porque no dispone de un anexo de límites aprobado y vigente. El asistente solo puede preparar un borrador informativo para revisión humana, sin inventar condiciones financieras.</w:t>
      </w:r>
    </w:p>
    <w:p>
      <w:pPr>
        <w:pStyle w:val="Heading2"/>
      </w:pPr>
      <w:r>
        <w:t>6 Escalamiento</w:t>
      </w:r>
    </w:p>
    <w:p>
      <w:r>
        <w:t>Dos o más promesas incumplidas en el historial consultado, o información contradictoria, requieren revisión de un supervisor. Una sola promesa incumplida también mantiene la pausa de contacto según POL-COB-04 §7; el número de incumplimientos no autoriza a omitir la revisión.</w:t>
      </w:r>
    </w:p>
    <w:p>
      <w:pPr>
        <w:pStyle w:val="Heading2"/>
      </w:pPr>
      <w:r>
        <w:t>7 Promesas incumplidas</w:t>
      </w:r>
    </w:p>
    <w:p>
      <w:r>
        <w:t>Una promesa incumplida requiere revisar el historial antes de presentar una nueva alternativa. El contacto queda en pausa y se deriva al supervisor según POL-COB-04 §7. Solo puede reanudarse tras la resolución documentada y una nueva comprobación de las condiciones aplicables.</w:t>
      </w:r>
    </w:p>
    <w:p>
      <w:pPr>
        <w:pStyle w:val="Heading1"/>
      </w:pPr>
      <w:r>
        <w:t>Controles del sistema RAG</w:t>
      </w:r>
    </w:p>
    <w:p>
      <w:r>
        <w:t>Aplicar permisos y vigencia antes de recuperar. Conservar documento, versión, sección y huella del archivo en cada cita. Abstenerse si falta evidencia; las reglas de pausa y la aprobación humana se comprueban en la aplicación.</w:t>
      </w:r>
    </w:p>
    <w:p>
      <w:r>
        <w:br w:type="page"/>
      </w:r>
    </w:p>
    <w:p>
      <w:pPr>
        <w:pStyle w:val="Heading1"/>
      </w:pPr>
      <w:r>
        <w:t>Definiciones y referencias</w:t>
      </w:r>
    </w:p>
    <w:p>
      <w:r>
        <w:rPr>
          <w:b/>
        </w:rPr>
        <w:t xml:space="preserve">Saldo vigente. </w:t>
      </w:r>
      <w:r>
        <w:t>Importe consultado en la fuente operativa; no lo determina el modelo.</w:t>
      </w:r>
    </w:p>
    <w:p>
      <w:r>
        <w:rPr>
          <w:b/>
        </w:rPr>
        <w:t xml:space="preserve">Pago pendiente de conciliación. </w:t>
      </w:r>
      <w:r>
        <w:t>Pago reportado cuya aplicación todavía no ha validado Operaciones.</w:t>
      </w:r>
    </w:p>
    <w:p>
      <w:r>
        <w:rPr>
          <w:b/>
        </w:rPr>
        <w:t xml:space="preserve">Borrador informativo. </w:t>
      </w:r>
      <w:r>
        <w:t>Texto preparado para revisión, sin acuerdo ni envío autorizado por sí mismo.</w:t>
      </w:r>
    </w:p>
    <w:p>
      <w:r>
        <w:rPr>
          <w:b/>
        </w:rPr>
        <w:t xml:space="preserve">Aprobación simulada. </w:t>
      </w:r>
      <w:r>
        <w:t>Revisión ficticia que permite recorrer el flujo docente; no acredita aprobación corporativa.</w:t>
      </w:r>
    </w:p>
    <w:p>
      <w:r>
        <w:t>Las referencias siguientes identifican las versiones aplicables en este corpus. La sección se indica en cada regla. Una contradicción obliga a pausar y consultar al responsable; no se elige una regla por similitud de búsqueda.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48"/>
        <w:gridCol w:w="1872"/>
      </w:tblGrid>
      <w:tr>
        <w:trPr>
          <w:cantSplit/>
          <w:tblHeader/>
        </w:trPr>
        <w:tc>
          <w:tcPr>
            <w:tcW w:type="dxa" w:w="7848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Documento relacionado</w:t>
            </w:r>
          </w:p>
        </w:tc>
        <w:tc>
          <w:tcPr>
            <w:tcW w:type="dxa" w:w="1872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POL-COB-04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v4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POL-PAG-02</w:t>
            </w:r>
          </w:p>
        </w:tc>
        <w:tc>
          <w:tcPr>
            <w:tcW w:type="dxa" w:w="187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v5</w:t>
            </w:r>
          </w:p>
        </w:tc>
      </w:tr>
      <w:tr>
        <w:trPr>
          <w:cantSplit/>
        </w:trPr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MAN-ATN-02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v3</w:t>
            </w:r>
          </w:p>
        </w:tc>
      </w:tr>
    </w:tbl>
    <w:p>
      <w:pPr>
        <w:spacing w:after="0"/>
      </w:pPr>
    </w:p>
    <w:p>
      <w:pPr>
        <w:pStyle w:val="Heading1"/>
      </w:pPr>
      <w:r>
        <w:t>Control y revisión documental</w:t>
      </w:r>
    </w:p>
    <w:p>
      <w:r>
        <w:t>Revisión y aprobación simuladas: Experto docente simulado, 2026-10-20. Alcance: estructura, terminología, coherencia entre las cuatro fuentes y correspondencia de los casos de Ground Truth. No acredita validación jurídica ni aprobación de una organización.</w:t>
      </w:r>
    </w:p>
    <w:p>
      <w:r>
        <w:t>El propietario revisa esta versión el 2027-04-20 o antes si cambian reglas, fuentes o permisos. Una modificación genera una nueva versión, archiva la anterior y obliga a reindexar y revalidar los casos afectados. Se conservará la evidencia de revisión.</w:t>
      </w:r>
    </w:p>
    <w:p>
      <w:pPr>
        <w:pStyle w:val="Heading1"/>
      </w:pPr>
      <w:r>
        <w:t>Historial de versiones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440"/>
        <w:gridCol w:w="7416"/>
      </w:tblGrid>
      <w:tr>
        <w:trPr>
          <w:cantSplit/>
          <w:tblHeader/>
        </w:trPr>
        <w:tc>
          <w:tcPr>
            <w:tcW w:type="dxa" w:w="864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416"/>
            <w:vAlign w:val="center"/>
            <w:shd w:fill="153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8"/>
              </w:rPr>
              <w:t>Cambio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v1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2025-08-18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Emisión inicial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v2</w:t>
            </w:r>
          </w:p>
        </w:tc>
        <w:tc>
          <w:tcPr>
            <w:tcW w:type="dxa" w:w="144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2026-01-12</w:t>
            </w:r>
          </w:p>
        </w:tc>
        <w:tc>
          <w:tcPr>
            <w:tcW w:type="dxa" w:w="74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Se agregó cumplimiento parcial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v3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2026-05-20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Se añadió revisión por incumplimiento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v4</w:t>
            </w:r>
          </w:p>
        </w:tc>
        <w:tc>
          <w:tcPr>
            <w:tcW w:type="dxa" w:w="144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2026-10-20</w:t>
            </w:r>
          </w:p>
        </w:tc>
        <w:tc>
          <w:tcPr>
            <w:tcW w:type="dxa" w:w="74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color w:val="172033"/>
                <w:sz w:val="18"/>
              </w:rPr>
              <w:t>Se precisan condiciones, referencias, revisión documental y aprobación simulada. El linaje de procesamiento se mantiene fuera de la política.</w:t>
            </w:r>
          </w:p>
        </w:tc>
      </w:tr>
    </w:tbl>
    <w:p>
      <w:pPr>
        <w:spacing w:after="0"/>
      </w:pPr>
    </w:p>
    <w:p>
      <w:pPr>
        <w:pStyle w:val="Heading1"/>
      </w:pPr>
      <w:r>
        <w:t>Trazabilidad de la fuente</w:t>
      </w:r>
    </w:p>
    <w:p>
      <w:r>
        <w:t>Original: 05_Corpus_Documental/POL-PRO-03_v4.docx. Versión reemplazada: historicos/2026-10-20/POL-PRO-03_v3.docx. El mapa de secciones está en lineage_manifest.json; el registro de procesamiento real está en processing_lineage.json. Los parámetros del índice se mantienen fuera de esta política.</w:t>
      </w:r>
    </w:p>
    <w:p>
      <w:pPr>
        <w:spacing w:after="60"/>
      </w:pPr>
      <w:r>
        <w:rPr>
          <w:sz w:val="16"/>
        </w:rPr>
        <w:t>SHA-256 canónico: 373129127fc35dbbc044c5d5283d546b49d7034033fd44e8453ca345b671a91a</w:t>
      </w:r>
    </w:p>
    <w:p>
      <w:r>
        <w:t>El hash canónico identifica el contenido estructurado del documento según corpus_spec.json, serializado como JSON UTF-8 con claves ordenadas y sin espacios separadores. La huella del archivo Word completo se calcula después de guardarlo y se registra por separado en el manifiesto. No son valores intercambiables.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POL-PRO-03 v4 · Aprobación simulada · Uso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