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atención especial al cliente</w:t>
      </w:r>
    </w:p>
    <w:p>
      <w:r>
        <w:rPr>
          <w:rFonts w:ascii="Aptos" w:hAnsi="Aptos"/>
          <w:b/>
          <w:color w:val="0B6FED"/>
          <w:sz w:val="24"/>
        </w:rPr>
        <w:t>MAN-ATN-02  v2</w:t>
      </w:r>
    </w:p>
    <w:p>
      <w:r>
        <w:rPr>
          <w:rFonts w:ascii="Aptos" w:hAnsi="Aptos"/>
          <w:b w:val="0"/>
          <w:color w:val="667085"/>
          <w:sz w:val="18"/>
        </w:rPr>
        <w:t>Documento sintético para demostración y 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Código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MAN-ATN-02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Versión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v2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Estado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Gerencia de Experiencia del Cliente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Aprobador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Responsable de Conducta de Mercado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Publicación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2026-06-10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 desde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2026-06-15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COBRANZA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de origen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Biblioteca interna de atención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SHA-256 del contenido canónico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94aa19657cc8cc32d29bcc6afca5b58e2c407615eae3ef2cb23def6a3424ff98</w:t>
            </w:r>
          </w:p>
        </w:tc>
      </w:tr>
    </w:tbl>
    <w:p>
      <w:pPr>
        <w:pStyle w:val="Heading1"/>
      </w:pPr>
      <w:r>
        <w:t>Propósito</w:t>
      </w:r>
    </w:p>
    <w:p>
      <w:r>
        <w:t>Orientar la identificación y derivación de situaciones que requieren trato humano especializado durante una gestión de cobranza.</w:t>
      </w:r>
    </w:p>
    <w:p>
      <w:pPr>
        <w:pStyle w:val="Heading1"/>
      </w:pPr>
      <w:r>
        <w:t>Alcance</w:t>
      </w:r>
    </w:p>
    <w:p>
      <w:r>
        <w:t>Aplica a asesores, supervisores, personal de atención y sistemas que detectan señales de vulnerabilidad, reclamo o dificultad sensible.</w:t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Señales de atención especial</w:t>
      </w:r>
    </w:p>
    <w:p>
      <w:r>
        <w:t>Se consideran señales relevantes una dificultad sensible comunicada por el cliente, un reclamo activo, una limitación de accesibilidad o una marca vigente en el CRM.</w:t>
      </w:r>
    </w:p>
    <w:p>
      <w:pPr>
        <w:pStyle w:val="Heading2"/>
      </w:pPr>
      <w:r>
        <w:t>2 Registro mínimo</w:t>
      </w:r>
    </w:p>
    <w:p>
      <w:r>
        <w:t>El asesor registra únicamente la información necesaria para derivar. No debe solicitar datos sensibles que no sean indispensables para atender el caso.</w:t>
      </w:r>
    </w:p>
    <w:p>
      <w:pPr>
        <w:pStyle w:val="Heading2"/>
      </w:pPr>
      <w:r>
        <w:t>3 Atención especial</w:t>
      </w:r>
    </w:p>
    <w:p>
      <w:r>
        <w:t>Los casos marcados para atención especial requieren intervención humana y no deben continuar con negociación automatizada.</w:t>
      </w:r>
    </w:p>
    <w:p>
      <w:pPr>
        <w:pStyle w:val="Heading2"/>
      </w:pPr>
      <w:r>
        <w:t>4 Derivación</w:t>
      </w:r>
    </w:p>
    <w:p>
      <w:r>
        <w:t>El sistema identifica el equipo responsable, conserva el motivo de derivación y evita generar recordatorios hasta que el responsable cierre o actualice el caso.</w:t>
      </w:r>
    </w:p>
    <w:p>
      <w:pPr>
        <w:pStyle w:val="Heading2"/>
      </w:pPr>
      <w:r>
        <w:t>5 Comunicación</w:t>
      </w:r>
    </w:p>
    <w:p>
      <w:r>
        <w:t>La respuesta confirma la recepción de la solicitud sin emitir juicios, promesas no autorizadas ni exigencias de pago durante la pausa.</w:t>
      </w:r>
    </w:p>
    <w:p>
      <w:pPr>
        <w:pStyle w:val="Heading2"/>
      </w:pPr>
      <w:r>
        <w:t>6 Auditoría</w:t>
      </w:r>
    </w:p>
    <w:p>
      <w:r>
        <w:t>Cada consulta conserva el usuario, la marca del CRM, la fuente del manual, la decisión de derivación y la intervención posterior.</w:t>
      </w:r>
    </w:p>
    <w:p>
      <w:pPr>
        <w:pStyle w:val="Heading1"/>
      </w:pPr>
      <w:r>
        <w:t>Controles del sistema RAG</w:t>
      </w:r>
    </w:p>
    <w:p>
      <w:pPr>
        <w:pStyle w:val="ListBullet"/>
      </w:pPr>
      <w:r>
        <w:t>Filtrar por estado vigente, rol de acceso y fecha aplicable antes de calcular similitud.</w:t>
      </w:r>
    </w:p>
    <w:p>
      <w:pPr>
        <w:pStyle w:val="ListBullet"/>
      </w:pPr>
      <w:r>
        <w:t>Conservar código, versión, sección, hash y repositorio en cada fragmento.</w:t>
      </w:r>
    </w:p>
    <w:p>
      <w:pPr>
        <w:pStyle w:val="ListBullet"/>
      </w:pPr>
      <w:r>
        <w:t>Mostrar la cita utilizada y abstenerse cuando no exista evidencia suficiente.</w:t>
      </w:r>
    </w:p>
    <w:p>
      <w:pPr>
        <w:pStyle w:val="ListBullet"/>
      </w:pPr>
      <w:r>
        <w:t>Registrar la consulta, los candidatos, el fragmento seleccionado y la decisión humana.</w:t>
      </w:r>
    </w:p>
    <w:p>
      <w:pPr>
        <w:pStyle w:val="Heading1"/>
      </w:pPr>
      <w:r>
        <w:t>Mapa de fragmentos indexados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31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Chunk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03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MAN-ATN-02-v2-C01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§1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Señales de atención especial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MAN-ATN-02-v2-C02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§2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Registro mínimo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MAN-ATN-02-v2-C03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§3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Atención especial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MAN-ATN-02-v2-C04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§4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Derivación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MAN-ATN-02-v2-C05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§5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Comunicación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</w:tbl>
    <w:p>
      <w:pPr>
        <w:pStyle w:val="Heading1"/>
      </w:pPr>
      <w:r>
        <w:t>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29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48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2025-12-01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Emisión inicial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2026-06-10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incorporó pausa de automatización y auditoría</w:t>
            </w:r>
          </w:p>
        </w:tc>
      </w:tr>
    </w:tbl>
    <w:p>
      <w:pPr>
        <w:pStyle w:val="Heading1"/>
        <w:pageBreakBefore/>
      </w:pPr>
      <w:r>
        <w:t>Registro de linaje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488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Origen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Biblioteca interna de atención / MAN-ATN-02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Extracción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Texto estructurado UTF-8, español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Fragmentación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Por sección, con identificador estable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Embedding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semantic-demo-4d-v1, vector didáctico de 4 dimensiones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Índice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PostgreSQL policy_documents con pgvector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Filtros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active=true, access_role=COBRANZA, versión=v2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Uso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Consulta, recuperación, cita y validación humana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6"/>
      </w:rPr>
      <w:t>MAN-ATN-02 v2 · corpus sintético de clase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