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cobranza temprana</w:t>
      </w:r>
    </w:p>
    <w:p>
      <w:r>
        <w:rPr>
          <w:rFonts w:ascii="Aptos" w:hAnsi="Aptos"/>
          <w:b/>
          <w:color w:val="0B6FED"/>
          <w:sz w:val="24"/>
        </w:rPr>
        <w:t>POL-COB-04  v3</w:t>
      </w:r>
    </w:p>
    <w:p>
      <w:r>
        <w:rPr>
          <w:rFonts w:ascii="Aptos" w:hAnsi="Aptos"/>
          <w:b w:val="0"/>
          <w:color w:val="667085"/>
          <w:sz w:val="18"/>
        </w:rPr>
        <w:t>Documento sintético para demostración y 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056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Código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POL-COB-04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Versión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v3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Estado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Vigente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Propietario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Gerencia de Cobranzas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Aprobador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Comité de Riesgo Operativo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Publicación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2026-08-01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Vigente desde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2026-08-01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Acceso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COBRANZA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Repositorio de origen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Repositorio corporativo de políticas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SHA-256 del contenido canónico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5f58b54ac2076bf2fe004d316ba6ed0520d4ac59a3e3d8f46af2d34e7e97a6b1</w:t>
            </w:r>
          </w:p>
        </w:tc>
      </w:tr>
    </w:tbl>
    <w:p>
      <w:pPr>
        <w:pStyle w:val="Heading1"/>
      </w:pPr>
      <w:r>
        <w:t>Propósito</w:t>
      </w:r>
    </w:p>
    <w:p>
      <w:r>
        <w:t>Establecer las reglas para gestionar obligaciones con hasta 30 días de atraso, preservar el trato adecuado y mantener aprobación humana antes de formalizar propuestas o enviar comunicaciones.</w:t>
      </w:r>
    </w:p>
    <w:p>
      <w:pPr>
        <w:pStyle w:val="Heading1"/>
      </w:pPr>
      <w:r>
        <w:t>Alcance</w:t>
      </w:r>
    </w:p>
    <w:p>
      <w:r>
        <w:t>Aplica a asesores de cobranza, supervisores y asistentes internos que consultan obligaciones de personas o empresas dentro de la etapa temprana.</w:t>
      </w:r>
    </w:p>
    <w:p>
      <w:pPr>
        <w:pStyle w:val="Heading1"/>
      </w:pPr>
      <w:r>
        <w:t>Reglas y procedimientos</w:t>
      </w:r>
    </w:p>
    <w:p>
      <w:pPr>
        <w:pStyle w:val="Heading2"/>
      </w:pPr>
      <w:r>
        <w:t>1 Objeto y alcance</w:t>
      </w:r>
    </w:p>
    <w:p>
      <w:r>
        <w:t>La política regula consultas, propuestas preliminares y comunicaciones asociadas a obligaciones con hasta 30 días de atraso. No autoriza al asistente a cerrar acuerdos ni modificar condiciones contractuales.</w:t>
      </w:r>
    </w:p>
    <w:p>
      <w:pPr>
        <w:pStyle w:val="Heading2"/>
      </w:pPr>
      <w:r>
        <w:t>2 Fuentes operativas</w:t>
      </w:r>
    </w:p>
    <w:p>
      <w:r>
        <w:t>Antes de preparar una respuesta se debe consultar el saldo vigente, los días de atraso, el historial de pagos, las promesas registradas y el canal autorizado del cliente.</w:t>
      </w:r>
    </w:p>
    <w:p>
      <w:pPr>
        <w:pStyle w:val="Heading2"/>
      </w:pPr>
      <w:r>
        <w:t>3 Condiciones de contacto</w:t>
      </w:r>
    </w:p>
    <w:p>
      <w:r>
        <w:t>El contacto procede cuando existe una obligación vencida, no hay un pago pendiente de conciliación y el CRM no registra una condición que requiera atención especial.</w:t>
      </w:r>
    </w:p>
    <w:p>
      <w:pPr>
        <w:pStyle w:val="Heading2"/>
      </w:pPr>
      <w:r>
        <w:t>4 Propuestas preliminares</w:t>
      </w:r>
    </w:p>
    <w:p>
      <w:r>
        <w:t>El asistente puede preparar una propuesta dentro de los rangos configurados. La propuesta se presenta como borrador y requiere validación del responsable humano antes de comunicarse.</w:t>
      </w:r>
    </w:p>
    <w:p>
      <w:pPr>
        <w:pStyle w:val="Heading2"/>
      </w:pPr>
      <w:r>
        <w:t>5 Gestión temprana</w:t>
      </w:r>
    </w:p>
    <w:p>
      <w:r>
        <w:t>Para atrasos de hasta 30 días, el agente puede preparar una propuesta dentro de los rangos autorizados. La confirmación requiere un responsable humano.</w:t>
      </w:r>
    </w:p>
    <w:p>
      <w:pPr>
        <w:pStyle w:val="Heading2"/>
      </w:pPr>
      <w:r>
        <w:t>6 Canales y trazabilidad</w:t>
      </w:r>
    </w:p>
    <w:p>
      <w:r>
        <w:t>Los recordatorios se envían únicamente al correo o número autorizado. Se registra la consulta, las fuentes utilizadas, la versión de la política, la aprobación y el resultado del envío.</w:t>
      </w:r>
    </w:p>
    <w:p>
      <w:pPr>
        <w:pStyle w:val="Heading2"/>
      </w:pPr>
      <w:r>
        <w:t>7 Excepciones</w:t>
      </w:r>
    </w:p>
    <w:p>
      <w:r>
        <w:t>Un pago pendiente, una promesa incumplida, información contradictoria o una marca de atención especial obliga a pausar el flujo y derivar el caso.</w:t>
      </w:r>
    </w:p>
    <w:p>
      <w:pPr>
        <w:pStyle w:val="Heading1"/>
      </w:pPr>
      <w:r>
        <w:t>Controles del sistema RAG</w:t>
      </w:r>
    </w:p>
    <w:p>
      <w:pPr>
        <w:pStyle w:val="ListBullet"/>
      </w:pPr>
      <w:r>
        <w:t>Filtrar por estado vigente, rol de acceso y fecha aplicable antes de calcular similitud.</w:t>
      </w:r>
    </w:p>
    <w:p>
      <w:pPr>
        <w:pStyle w:val="ListBullet"/>
      </w:pPr>
      <w:r>
        <w:t>Conservar código, versión, sección, hash y repositorio en cada fragmento.</w:t>
      </w:r>
    </w:p>
    <w:p>
      <w:pPr>
        <w:pStyle w:val="ListBullet"/>
      </w:pPr>
      <w:r>
        <w:t>Mostrar la cita utilizada y abstenerse cuando no exista evidencia suficiente.</w:t>
      </w:r>
    </w:p>
    <w:p>
      <w:pPr>
        <w:pStyle w:val="ListBullet"/>
      </w:pPr>
      <w:r>
        <w:t>Registrar la consulta, los candidatos, el fragmento seleccionado y la decisión humana.</w:t>
      </w:r>
    </w:p>
    <w:p>
      <w:pPr>
        <w:pStyle w:val="Heading1"/>
      </w:pPr>
      <w:r>
        <w:t>Mapa de fragmentos indexados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331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Chunk</w:t>
            </w:r>
          </w:p>
        </w:tc>
        <w:tc>
          <w:tcPr>
            <w:tcW w:type="dxa" w:w="115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403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115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POL-COB-04-v3-C01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§2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Fuentes operativas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POL-COB-04-v3-C02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§3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Condiciones de contacto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POL-COB-04-v3-C03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§5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Gestión temprana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POL-COB-04-v3-C04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§6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Canales y trazabilidad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POL-COB-04-v3-C05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§7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Excepciones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</w:tbl>
    <w:p>
      <w:pPr>
        <w:pStyle w:val="Heading1"/>
      </w:pPr>
      <w:r>
        <w:t>Historial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296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87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6480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12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v1</w:t>
            </w:r>
          </w:p>
        </w:tc>
        <w:tc>
          <w:tcPr>
            <w:tcW w:type="dxa" w:w="18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2025-09-01</w:t>
            </w:r>
          </w:p>
        </w:tc>
        <w:tc>
          <w:tcPr>
            <w:tcW w:type="dxa" w:w="648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Emisión inicial</w:t>
            </w:r>
          </w:p>
        </w:tc>
      </w:tr>
      <w:tr>
        <w:tc>
          <w:tcPr>
            <w:tcW w:type="dxa" w:w="12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v2</w:t>
            </w:r>
          </w:p>
        </w:tc>
        <w:tc>
          <w:tcPr>
            <w:tcW w:type="dxa" w:w="18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2026-02-15</w:t>
            </w:r>
          </w:p>
        </w:tc>
        <w:tc>
          <w:tcPr>
            <w:tcW w:type="dxa" w:w="648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Se incorporaron controles de canales</w:t>
            </w:r>
          </w:p>
        </w:tc>
      </w:tr>
      <w:tr>
        <w:tc>
          <w:tcPr>
            <w:tcW w:type="dxa" w:w="12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v3</w:t>
            </w:r>
          </w:p>
        </w:tc>
        <w:tc>
          <w:tcPr>
            <w:tcW w:type="dxa" w:w="18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2026-08-01</w:t>
            </w:r>
          </w:p>
        </w:tc>
        <w:tc>
          <w:tcPr>
            <w:tcW w:type="dxa" w:w="648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Se añadió aprobación humana y trazabilidad RAG</w:t>
            </w:r>
          </w:p>
        </w:tc>
      </w:tr>
    </w:tbl>
    <w:p>
      <w:pPr>
        <w:pStyle w:val="Heading1"/>
        <w:pageBreakBefore/>
      </w:pPr>
      <w:r>
        <w:t>Registro de linaje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7488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Origen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Repositorio corporativo de políticas / POL-COB-04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Extracción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Texto estructurado UTF-8, español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Fragmentación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Por sección, con identificador estable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Embedding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semantic-demo-4d-v1, vector didáctico de 4 dimensiones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Índice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PostgreSQL policy_documents con pgvector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Filtros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active=true, access_role=COBRANZA, versión=v3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Uso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Consulta, recuperación, cita y validación humana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7085"/>
        <w:sz w:val="16"/>
      </w:rPr>
      <w:t>POL-COB-04 v3 · corpus sintético de clase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