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aplicación y conciliación de pagos</w:t>
      </w:r>
    </w:p>
    <w:p>
      <w:r>
        <w:rPr>
          <w:rFonts w:ascii="Aptos" w:hAnsi="Aptos"/>
          <w:b/>
          <w:color w:val="0B6FED"/>
          <w:sz w:val="24"/>
        </w:rPr>
        <w:t>POL-PAG-02  v4</w:t>
      </w:r>
    </w:p>
    <w:p>
      <w:r>
        <w:rPr>
          <w:rFonts w:ascii="Aptos" w:hAnsi="Aptos"/>
          <w:b w:val="0"/>
          <w:color w:val="667085"/>
          <w:sz w:val="18"/>
        </w:rPr>
        <w:t>Documento sintético para demostración y 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05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Código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Versión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v4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Propietario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Gerencia de Operaciones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Aprobador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Jefatura de Finanzas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Publicación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2026-07-15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Vigente desde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2026-07-20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Acceso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COBRANZA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de origen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operaciones</w:t>
            </w:r>
          </w:p>
        </w:tc>
      </w:tr>
      <w:tr>
        <w:tc>
          <w:tcPr>
            <w:tcW w:type="dxa" w:w="259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SHA-256 del contenido canónico</w:t>
            </w:r>
          </w:p>
        </w:tc>
        <w:tc>
          <w:tcPr>
            <w:tcW w:type="dxa" w:w="705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9796a7e4c9978c3c2afec936efbb72eaf2a47de84f5312b742be1d240cb8581f</w:t>
            </w:r>
          </w:p>
        </w:tc>
      </w:tr>
    </w:tbl>
    <w:p>
      <w:pPr>
        <w:pStyle w:val="Heading1"/>
      </w:pPr>
      <w:r>
        <w:t>Propósito</w:t>
      </w:r>
    </w:p>
    <w:p>
      <w:r>
        <w:t>Definir cómo registrar, conciliar y aplicar pagos reportados, evitando comunicaciones de cobranza mientras exista evidencia pendiente de validación.</w:t>
      </w:r>
    </w:p>
    <w:p>
      <w:pPr>
        <w:pStyle w:val="Heading1"/>
      </w:pPr>
      <w:r>
        <w:t>Alcance</w:t>
      </w:r>
    </w:p>
    <w:p>
      <w:r>
        <w:t>Aplica a Operaciones, Tesorería, Cobranzas y asistentes que consultan pagos recibidos o comprobantes enviados por clientes.</w:t>
      </w:r>
    </w:p>
    <w:p>
      <w:pPr>
        <w:pStyle w:val="Heading1"/>
      </w:pPr>
      <w:r>
        <w:t>Reglas y procedimientos</w:t>
      </w:r>
    </w:p>
    <w:p>
      <w:pPr>
        <w:pStyle w:val="Heading2"/>
      </w:pPr>
      <w:r>
        <w:t>1 Principio de aplicación</w:t>
      </w:r>
    </w:p>
    <w:p>
      <w:r>
        <w:t>Un pago modifica el saldo únicamente después de que Operaciones valide su correspondencia con la obligación y registre la aplicación.</w:t>
      </w:r>
    </w:p>
    <w:p>
      <w:pPr>
        <w:pStyle w:val="Heading2"/>
      </w:pPr>
      <w:r>
        <w:t>2 Evidencia admitida</w:t>
      </w:r>
    </w:p>
    <w:p>
      <w:r>
        <w:t>El sistema puede registrar el número de operación, fecha, importe, entidad receptora y comprobante. La recepción del comprobante no equivale a conciliación.</w:t>
      </w:r>
    </w:p>
    <w:p>
      <w:pPr>
        <w:pStyle w:val="Heading2"/>
      </w:pPr>
      <w:r>
        <w:t>3 Estados del pago</w:t>
      </w:r>
    </w:p>
    <w:p>
      <w:r>
        <w:t>Los estados permitidos son informado, pendiente de conciliación, aplicado, observado y rechazado. Cada cambio conserva fecha, responsable y evidencia.</w:t>
      </w:r>
    </w:p>
    <w:p>
      <w:pPr>
        <w:pStyle w:val="Heading2"/>
      </w:pPr>
      <w:r>
        <w:t>4 Conciliación</w:t>
      </w:r>
    </w:p>
    <w:p>
      <w:r>
        <w:t>Cuando existe un pago pendiente de conciliación se debe pausar el contacto de cobranza y derivar el caso a Operaciones.</w:t>
      </w:r>
    </w:p>
    <w:p>
      <w:pPr>
        <w:pStyle w:val="Heading2"/>
      </w:pPr>
      <w:r>
        <w:t>5 Reanudación</w:t>
      </w:r>
    </w:p>
    <w:p>
      <w:r>
        <w:t>La gestión puede reanudarse cuando el pago se aplica o cuando Operaciones documenta que la evidencia no corresponde a la obligación consultada.</w:t>
      </w:r>
    </w:p>
    <w:p>
      <w:pPr>
        <w:pStyle w:val="Heading2"/>
      </w:pPr>
      <w:r>
        <w:t>6 Control del asistente</w:t>
      </w:r>
    </w:p>
    <w:p>
      <w:r>
        <w:t>El asistente no recalcula saldos ni declara un pago aplicado. Debe mostrar el estado registrado, citar esta política y explicar la derivación.</w:t>
      </w:r>
    </w:p>
    <w:p>
      <w:pPr>
        <w:pStyle w:val="Heading1"/>
      </w:pPr>
      <w:r>
        <w:t>Controles del sistema RAG</w:t>
      </w:r>
    </w:p>
    <w:p>
      <w:pPr>
        <w:pStyle w:val="ListBullet"/>
      </w:pPr>
      <w:r>
        <w:t>Filtrar por estado vigente, rol de acceso y fecha aplicable antes de calcular similitud.</w:t>
      </w:r>
    </w:p>
    <w:p>
      <w:pPr>
        <w:pStyle w:val="ListBullet"/>
      </w:pPr>
      <w:r>
        <w:t>Conservar código, versión, sección, hash y repositorio en cada fragmento.</w:t>
      </w:r>
    </w:p>
    <w:p>
      <w:pPr>
        <w:pStyle w:val="ListBullet"/>
      </w:pPr>
      <w:r>
        <w:t>Mostrar la cita utilizada y abstenerse cuando no exista evidencia suficiente.</w:t>
      </w:r>
    </w:p>
    <w:p>
      <w:pPr>
        <w:pStyle w:val="ListBullet"/>
      </w:pPr>
      <w:r>
        <w:t>Registrar la consulta, los candidatos, el fragmento seleccionado y la decisión humana.</w:t>
      </w:r>
    </w:p>
    <w:p>
      <w:pPr>
        <w:pStyle w:val="Heading1"/>
      </w:pPr>
      <w:r>
        <w:t>Mapa de fragmentos indexados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331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Chunk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03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Título</w:t>
            </w:r>
          </w:p>
        </w:tc>
        <w:tc>
          <w:tcPr>
            <w:tcW w:type="dxa" w:w="115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POL-PAG-02-v4-C01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§2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Evidencia admitida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POL-PAG-02-v4-C02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§3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Estados del pago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POL-PAG-02-v4-C03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§4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Conciliación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POL-PAG-02-v4-C04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§5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Reanudación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  <w:tr>
        <w:tc>
          <w:tcPr>
            <w:tcW w:type="dxa" w:w="33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POL-PAG-02-v4-C05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§6</w:t>
            </w:r>
          </w:p>
        </w:tc>
        <w:tc>
          <w:tcPr>
            <w:tcW w:type="dxa" w:w="40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Control del asistente</w:t>
            </w:r>
          </w:p>
        </w:tc>
        <w:tc>
          <w:tcPr>
            <w:tcW w:type="dxa" w:w="115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Activo</w:t>
            </w:r>
          </w:p>
        </w:tc>
      </w:tr>
    </w:tbl>
    <w:p>
      <w:pPr>
        <w:pStyle w:val="Heading1"/>
      </w:pPr>
      <w:r>
        <w:t>Historial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296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872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48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Cambio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v2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2025-11-10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formalizaron estados de pago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v3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2026-03-05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agregó evidencia digital</w:t>
            </w:r>
          </w:p>
        </w:tc>
      </w:tr>
      <w:tr>
        <w:tc>
          <w:tcPr>
            <w:tcW w:type="dxa" w:w="129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v4</w:t>
            </w:r>
          </w:p>
        </w:tc>
        <w:tc>
          <w:tcPr>
            <w:tcW w:type="dxa" w:w="187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648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 añadió pausa automática y derivación</w:t>
            </w:r>
          </w:p>
        </w:tc>
      </w:tr>
    </w:tbl>
    <w:p>
      <w:pPr>
        <w:pStyle w:val="Heading1"/>
        <w:pageBreakBefore/>
      </w:pPr>
      <w:r>
        <w:t>Registro de linaje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160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488"/>
            <w:shd w:fill="0B2A4A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Origen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Repositorio corporativo de operaciones / POL-PAG-02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Extracción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Texto estructurado UTF-8, español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Fragmentación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Por sección, con identificador estable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Embedding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semantic-demo-4d-v1, vector didáctico de 4 dimensiones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Índice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PostgreSQL policy_documents con pgvector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Filtros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3F7FB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active=true, access_role=COBRANZA, versión=v4</w:t>
            </w:r>
          </w:p>
        </w:tc>
      </w:tr>
      <w:tr>
        <w:tc>
          <w:tcPr>
            <w:tcW w:type="dxa" w:w="21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Uso</w:t>
            </w:r>
          </w:p>
        </w:tc>
        <w:tc>
          <w:tcPr>
            <w:tcW w:type="dxa" w:w="74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72033"/>
                <w:sz w:val="18"/>
              </w:rPr>
              <w:t>Consulta, recuperación, cita y validación humana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6"/>
      </w:rPr>
      <w:t>POL-PAG-02 v4 · corpus sintético de clase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