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Política de promesas de pago</w:t>
      </w:r>
    </w:p>
    <w:p>
      <w:r>
        <w:rPr>
          <w:rFonts w:ascii="Aptos" w:hAnsi="Aptos"/>
          <w:b/>
          <w:color w:val="0B6FED"/>
          <w:sz w:val="24"/>
        </w:rPr>
        <w:t>POL-PRO-03  v3</w:t>
      </w:r>
    </w:p>
    <w:p>
      <w:r>
        <w:rPr>
          <w:rFonts w:ascii="Aptos" w:hAnsi="Aptos"/>
          <w:b w:val="0"/>
          <w:color w:val="667085"/>
          <w:sz w:val="18"/>
        </w:rPr>
        <w:t>Documento sintético para demostración y formación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592"/>
            <w:shd w:fill="0B2A4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056"/>
            <w:shd w:fill="0B2A4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59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Código</w:t>
            </w:r>
          </w:p>
        </w:tc>
        <w:tc>
          <w:tcPr>
            <w:tcW w:type="dxa" w:w="705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POL-PRO-03</w:t>
            </w:r>
          </w:p>
        </w:tc>
      </w:tr>
      <w:tr>
        <w:tc>
          <w:tcPr>
            <w:tcW w:type="dxa" w:w="259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Versión</w:t>
            </w:r>
          </w:p>
        </w:tc>
        <w:tc>
          <w:tcPr>
            <w:tcW w:type="dxa" w:w="705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v3</w:t>
            </w:r>
          </w:p>
        </w:tc>
      </w:tr>
      <w:tr>
        <w:tc>
          <w:tcPr>
            <w:tcW w:type="dxa" w:w="259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Estado</w:t>
            </w:r>
          </w:p>
        </w:tc>
        <w:tc>
          <w:tcPr>
            <w:tcW w:type="dxa" w:w="705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Vigente</w:t>
            </w:r>
          </w:p>
        </w:tc>
      </w:tr>
      <w:tr>
        <w:tc>
          <w:tcPr>
            <w:tcW w:type="dxa" w:w="259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Propietario</w:t>
            </w:r>
          </w:p>
        </w:tc>
        <w:tc>
          <w:tcPr>
            <w:tcW w:type="dxa" w:w="705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Gerencia de Cobranzas</w:t>
            </w:r>
          </w:p>
        </w:tc>
      </w:tr>
      <w:tr>
        <w:tc>
          <w:tcPr>
            <w:tcW w:type="dxa" w:w="259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Aprobador</w:t>
            </w:r>
          </w:p>
        </w:tc>
        <w:tc>
          <w:tcPr>
            <w:tcW w:type="dxa" w:w="705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Comité de Riesgo Operativo</w:t>
            </w:r>
          </w:p>
        </w:tc>
      </w:tr>
      <w:tr>
        <w:tc>
          <w:tcPr>
            <w:tcW w:type="dxa" w:w="259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Publicación</w:t>
            </w:r>
          </w:p>
        </w:tc>
        <w:tc>
          <w:tcPr>
            <w:tcW w:type="dxa" w:w="705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2026-05-20</w:t>
            </w:r>
          </w:p>
        </w:tc>
      </w:tr>
      <w:tr>
        <w:tc>
          <w:tcPr>
            <w:tcW w:type="dxa" w:w="259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Vigente desde</w:t>
            </w:r>
          </w:p>
        </w:tc>
        <w:tc>
          <w:tcPr>
            <w:tcW w:type="dxa" w:w="705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2026-06-01</w:t>
            </w:r>
          </w:p>
        </w:tc>
      </w:tr>
      <w:tr>
        <w:tc>
          <w:tcPr>
            <w:tcW w:type="dxa" w:w="259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Acceso</w:t>
            </w:r>
          </w:p>
        </w:tc>
        <w:tc>
          <w:tcPr>
            <w:tcW w:type="dxa" w:w="705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COBRANZA</w:t>
            </w:r>
          </w:p>
        </w:tc>
      </w:tr>
      <w:tr>
        <w:tc>
          <w:tcPr>
            <w:tcW w:type="dxa" w:w="259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Repositorio de origen</w:t>
            </w:r>
          </w:p>
        </w:tc>
        <w:tc>
          <w:tcPr>
            <w:tcW w:type="dxa" w:w="705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Repositorio corporativo de políticas</w:t>
            </w:r>
          </w:p>
        </w:tc>
      </w:tr>
      <w:tr>
        <w:tc>
          <w:tcPr>
            <w:tcW w:type="dxa" w:w="259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SHA-256 del contenido canónico</w:t>
            </w:r>
          </w:p>
        </w:tc>
        <w:tc>
          <w:tcPr>
            <w:tcW w:type="dxa" w:w="705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5561d9d7ead8e3d0eecf2e283872820e8b07065081a93df9096debf8f3341d8a</w:t>
            </w:r>
          </w:p>
        </w:tc>
      </w:tr>
    </w:tbl>
    <w:p>
      <w:pPr>
        <w:pStyle w:val="Heading1"/>
      </w:pPr>
      <w:r>
        <w:t>Propósito</w:t>
      </w:r>
    </w:p>
    <w:p>
      <w:r>
        <w:t>Regular el registro, seguimiento y revisión de promesas de pago para evitar propuestas incompatibles con el historial del cliente.</w:t>
      </w:r>
    </w:p>
    <w:p>
      <w:pPr>
        <w:pStyle w:val="Heading1"/>
      </w:pPr>
      <w:r>
        <w:t>Alcance</w:t>
      </w:r>
    </w:p>
    <w:p>
      <w:r>
        <w:t>Aplica a promesas registradas durante gestiones de cobranza y a las consultas que preparan alternativas de pago.</w:t>
      </w:r>
    </w:p>
    <w:p>
      <w:pPr>
        <w:pStyle w:val="Heading1"/>
      </w:pPr>
      <w:r>
        <w:t>Reglas y procedimientos</w:t>
      </w:r>
    </w:p>
    <w:p>
      <w:pPr>
        <w:pStyle w:val="Heading2"/>
      </w:pPr>
      <w:r>
        <w:t>1 Registro de la promesa</w:t>
      </w:r>
    </w:p>
    <w:p>
      <w:r>
        <w:t>La promesa debe incluir importe, fecha comprometida, obligación relacionada, canal, asesor y confirmación del cliente.</w:t>
      </w:r>
    </w:p>
    <w:p>
      <w:pPr>
        <w:pStyle w:val="Heading2"/>
      </w:pPr>
      <w:r>
        <w:t>2 Estados permitidos</w:t>
      </w:r>
    </w:p>
    <w:p>
      <w:r>
        <w:t>Los estados son pendiente, cumplida, cumplida parcialmente, vencida, incumplida y anulada con sustento.</w:t>
      </w:r>
    </w:p>
    <w:p>
      <w:pPr>
        <w:pStyle w:val="Heading2"/>
      </w:pPr>
      <w:r>
        <w:t>3 Seguimiento</w:t>
      </w:r>
    </w:p>
    <w:p>
      <w:r>
        <w:t>El sistema puede recordar una promesa vigente dentro del canal autorizado, sin cambiar el importe ni la fecha acordada.</w:t>
      </w:r>
    </w:p>
    <w:p>
      <w:pPr>
        <w:pStyle w:val="Heading2"/>
      </w:pPr>
      <w:r>
        <w:t>4 Cumplimiento parcial</w:t>
      </w:r>
    </w:p>
    <w:p>
      <w:r>
        <w:t>Un pago parcial se deriva a conciliación antes de actualizar el estado de la promesa o calcular un saldo restante.</w:t>
      </w:r>
    </w:p>
    <w:p>
      <w:pPr>
        <w:pStyle w:val="Heading2"/>
      </w:pPr>
      <w:r>
        <w:t>5 Nueva alternativa</w:t>
      </w:r>
    </w:p>
    <w:p>
      <w:r>
        <w:t>Una nueva alternativa debe considerar capacidad, historial y límites configurados. El asistente solo prepara un borrador.</w:t>
      </w:r>
    </w:p>
    <w:p>
      <w:pPr>
        <w:pStyle w:val="Heading2"/>
      </w:pPr>
      <w:r>
        <w:t>6 Escalamiento</w:t>
      </w:r>
    </w:p>
    <w:p>
      <w:r>
        <w:t>La existencia de varias promesas incumplidas o información contradictoria requiere revisión de un supervisor.</w:t>
      </w:r>
    </w:p>
    <w:p>
      <w:pPr>
        <w:pStyle w:val="Heading2"/>
      </w:pPr>
      <w:r>
        <w:t>7 Promesas incumplidas</w:t>
      </w:r>
    </w:p>
    <w:p>
      <w:r>
        <w:t>Una promesa incumplida requiere revisar el historial antes de presentar una nueva alternativa.</w:t>
      </w:r>
    </w:p>
    <w:p>
      <w:pPr>
        <w:pStyle w:val="Heading1"/>
      </w:pPr>
      <w:r>
        <w:t>Controles del sistema RAG</w:t>
      </w:r>
    </w:p>
    <w:p>
      <w:pPr>
        <w:pStyle w:val="ListBullet"/>
      </w:pPr>
      <w:r>
        <w:t>Filtrar por estado vigente, rol de acceso y fecha aplicable antes de calcular similitud.</w:t>
      </w:r>
    </w:p>
    <w:p>
      <w:pPr>
        <w:pStyle w:val="ListBullet"/>
      </w:pPr>
      <w:r>
        <w:t>Conservar código, versión, sección, hash y repositorio en cada fragmento.</w:t>
      </w:r>
    </w:p>
    <w:p>
      <w:pPr>
        <w:pStyle w:val="ListBullet"/>
      </w:pPr>
      <w:r>
        <w:t>Mostrar la cita utilizada y abstenerse cuando no exista evidencia suficiente.</w:t>
      </w:r>
    </w:p>
    <w:p>
      <w:pPr>
        <w:pStyle w:val="ListBullet"/>
      </w:pPr>
      <w:r>
        <w:t>Registrar la consulta, los candidatos, el fragmento seleccionado y la decisión humana.</w:t>
      </w:r>
    </w:p>
    <w:p>
      <w:pPr>
        <w:pStyle w:val="Heading1"/>
      </w:pPr>
      <w:r>
        <w:t>Mapa de fragmentos indexados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3312"/>
            <w:shd w:fill="0B2A4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Chunk</w:t>
            </w:r>
          </w:p>
        </w:tc>
        <w:tc>
          <w:tcPr>
            <w:tcW w:type="dxa" w:w="1152"/>
            <w:shd w:fill="0B2A4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4032"/>
            <w:shd w:fill="0B2A4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Título</w:t>
            </w:r>
          </w:p>
        </w:tc>
        <w:tc>
          <w:tcPr>
            <w:tcW w:type="dxa" w:w="1152"/>
            <w:shd w:fill="0B2A4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331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POL-PRO-03-v3-C01</w:t>
            </w:r>
          </w:p>
        </w:tc>
        <w:tc>
          <w:tcPr>
            <w:tcW w:type="dxa" w:w="115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§1</w:t>
            </w:r>
          </w:p>
        </w:tc>
        <w:tc>
          <w:tcPr>
            <w:tcW w:type="dxa" w:w="403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Registro de la promesa</w:t>
            </w:r>
          </w:p>
        </w:tc>
        <w:tc>
          <w:tcPr>
            <w:tcW w:type="dxa" w:w="115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Activo</w:t>
            </w:r>
          </w:p>
        </w:tc>
      </w:tr>
      <w:tr>
        <w:tc>
          <w:tcPr>
            <w:tcW w:type="dxa" w:w="331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POL-PRO-03-v3-C02</w:t>
            </w:r>
          </w:p>
        </w:tc>
        <w:tc>
          <w:tcPr>
            <w:tcW w:type="dxa" w:w="115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§2</w:t>
            </w:r>
          </w:p>
        </w:tc>
        <w:tc>
          <w:tcPr>
            <w:tcW w:type="dxa" w:w="403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Estados permitidos</w:t>
            </w:r>
          </w:p>
        </w:tc>
        <w:tc>
          <w:tcPr>
            <w:tcW w:type="dxa" w:w="115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Activo</w:t>
            </w:r>
          </w:p>
        </w:tc>
      </w:tr>
      <w:tr>
        <w:tc>
          <w:tcPr>
            <w:tcW w:type="dxa" w:w="331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POL-PRO-03-v3-C03</w:t>
            </w:r>
          </w:p>
        </w:tc>
        <w:tc>
          <w:tcPr>
            <w:tcW w:type="dxa" w:w="115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§4</w:t>
            </w:r>
          </w:p>
        </w:tc>
        <w:tc>
          <w:tcPr>
            <w:tcW w:type="dxa" w:w="403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Cumplimiento parcial</w:t>
            </w:r>
          </w:p>
        </w:tc>
        <w:tc>
          <w:tcPr>
            <w:tcW w:type="dxa" w:w="115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Activo</w:t>
            </w:r>
          </w:p>
        </w:tc>
      </w:tr>
      <w:tr>
        <w:tc>
          <w:tcPr>
            <w:tcW w:type="dxa" w:w="331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POL-PRO-03-v3-C04</w:t>
            </w:r>
          </w:p>
        </w:tc>
        <w:tc>
          <w:tcPr>
            <w:tcW w:type="dxa" w:w="115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§6</w:t>
            </w:r>
          </w:p>
        </w:tc>
        <w:tc>
          <w:tcPr>
            <w:tcW w:type="dxa" w:w="403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Escalamiento</w:t>
            </w:r>
          </w:p>
        </w:tc>
        <w:tc>
          <w:tcPr>
            <w:tcW w:type="dxa" w:w="115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Activo</w:t>
            </w:r>
          </w:p>
        </w:tc>
      </w:tr>
      <w:tr>
        <w:tc>
          <w:tcPr>
            <w:tcW w:type="dxa" w:w="331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POL-PRO-03-v3-C05</w:t>
            </w:r>
          </w:p>
        </w:tc>
        <w:tc>
          <w:tcPr>
            <w:tcW w:type="dxa" w:w="115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§7</w:t>
            </w:r>
          </w:p>
        </w:tc>
        <w:tc>
          <w:tcPr>
            <w:tcW w:type="dxa" w:w="403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Promesas incumplidas</w:t>
            </w:r>
          </w:p>
        </w:tc>
        <w:tc>
          <w:tcPr>
            <w:tcW w:type="dxa" w:w="115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Activo</w:t>
            </w:r>
          </w:p>
        </w:tc>
      </w:tr>
    </w:tbl>
    <w:p>
      <w:pPr>
        <w:pStyle w:val="Heading1"/>
      </w:pPr>
      <w:r>
        <w:t>Historial de versiones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296"/>
            <w:shd w:fill="0B2A4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1872"/>
            <w:shd w:fill="0B2A4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6480"/>
            <w:shd w:fill="0B2A4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Cambio</w:t>
            </w:r>
          </w:p>
        </w:tc>
      </w:tr>
      <w:tr>
        <w:tc>
          <w:tcPr>
            <w:tcW w:type="dxa" w:w="129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v1</w:t>
            </w:r>
          </w:p>
        </w:tc>
        <w:tc>
          <w:tcPr>
            <w:tcW w:type="dxa" w:w="187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2025-08-18</w:t>
            </w:r>
          </w:p>
        </w:tc>
        <w:tc>
          <w:tcPr>
            <w:tcW w:type="dxa" w:w="648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Emisión inicial</w:t>
            </w:r>
          </w:p>
        </w:tc>
      </w:tr>
      <w:tr>
        <w:tc>
          <w:tcPr>
            <w:tcW w:type="dxa" w:w="129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v2</w:t>
            </w:r>
          </w:p>
        </w:tc>
        <w:tc>
          <w:tcPr>
            <w:tcW w:type="dxa" w:w="187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2026-01-12</w:t>
            </w:r>
          </w:p>
        </w:tc>
        <w:tc>
          <w:tcPr>
            <w:tcW w:type="dxa" w:w="648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Se agregó cumplimiento parcial</w:t>
            </w:r>
          </w:p>
        </w:tc>
      </w:tr>
      <w:tr>
        <w:tc>
          <w:tcPr>
            <w:tcW w:type="dxa" w:w="129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v3</w:t>
            </w:r>
          </w:p>
        </w:tc>
        <w:tc>
          <w:tcPr>
            <w:tcW w:type="dxa" w:w="187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2026-05-20</w:t>
            </w:r>
          </w:p>
        </w:tc>
        <w:tc>
          <w:tcPr>
            <w:tcW w:type="dxa" w:w="648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Se añadió revisión por incumplimiento</w:t>
            </w:r>
          </w:p>
        </w:tc>
      </w:tr>
    </w:tbl>
    <w:p>
      <w:pPr>
        <w:pStyle w:val="Heading1"/>
        <w:pageBreakBefore/>
      </w:pPr>
      <w:r>
        <w:t>Registro de linaje documental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160"/>
            <w:shd w:fill="0B2A4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Etapa</w:t>
            </w:r>
          </w:p>
        </w:tc>
        <w:tc>
          <w:tcPr>
            <w:tcW w:type="dxa" w:w="7488"/>
            <w:shd w:fill="0B2A4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21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Origen</w:t>
            </w:r>
          </w:p>
        </w:tc>
        <w:tc>
          <w:tcPr>
            <w:tcW w:type="dxa" w:w="74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Repositorio corporativo de políticas / POL-PRO-03</w:t>
            </w:r>
          </w:p>
        </w:tc>
      </w:tr>
      <w:tr>
        <w:tc>
          <w:tcPr>
            <w:tcW w:type="dxa" w:w="21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Extracción</w:t>
            </w:r>
          </w:p>
        </w:tc>
        <w:tc>
          <w:tcPr>
            <w:tcW w:type="dxa" w:w="74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Texto estructurado UTF-8, español</w:t>
            </w:r>
          </w:p>
        </w:tc>
      </w:tr>
      <w:tr>
        <w:tc>
          <w:tcPr>
            <w:tcW w:type="dxa" w:w="21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Fragmentación</w:t>
            </w:r>
          </w:p>
        </w:tc>
        <w:tc>
          <w:tcPr>
            <w:tcW w:type="dxa" w:w="74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Por sección, con identificador estable</w:t>
            </w:r>
          </w:p>
        </w:tc>
      </w:tr>
      <w:tr>
        <w:tc>
          <w:tcPr>
            <w:tcW w:type="dxa" w:w="21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Embedding</w:t>
            </w:r>
          </w:p>
        </w:tc>
        <w:tc>
          <w:tcPr>
            <w:tcW w:type="dxa" w:w="74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semantic-demo-4d-v1, vector didáctico de 4 dimensiones</w:t>
            </w:r>
          </w:p>
        </w:tc>
      </w:tr>
      <w:tr>
        <w:tc>
          <w:tcPr>
            <w:tcW w:type="dxa" w:w="21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Índice</w:t>
            </w:r>
          </w:p>
        </w:tc>
        <w:tc>
          <w:tcPr>
            <w:tcW w:type="dxa" w:w="74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PostgreSQL policy_documents con pgvector</w:t>
            </w:r>
          </w:p>
        </w:tc>
      </w:tr>
      <w:tr>
        <w:tc>
          <w:tcPr>
            <w:tcW w:type="dxa" w:w="21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Filtros</w:t>
            </w:r>
          </w:p>
        </w:tc>
        <w:tc>
          <w:tcPr>
            <w:tcW w:type="dxa" w:w="74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active=true, access_role=COBRANZA, versión=v3</w:t>
            </w:r>
          </w:p>
        </w:tc>
      </w:tr>
      <w:tr>
        <w:tc>
          <w:tcPr>
            <w:tcW w:type="dxa" w:w="21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Uso</w:t>
            </w:r>
          </w:p>
        </w:tc>
        <w:tc>
          <w:tcPr>
            <w:tcW w:type="dxa" w:w="74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Consulta, recuperación, cita y validación humana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67085"/>
        <w:sz w:val="16"/>
      </w:rPr>
      <w:t>POL-PRO-03 v3 · corpus sintético de clase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