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1C7" w:rsidRDefault="00124293">
      <w:r>
        <w:rPr>
          <w:rFonts w:ascii="Arial" w:hAnsi="Arial" w:cs="Arial"/>
          <w:color w:val="202124"/>
          <w:spacing w:val="2"/>
          <w:sz w:val="25"/>
          <w:szCs w:val="25"/>
          <w:shd w:val="clear" w:color="auto" w:fill="FFFFFF"/>
        </w:rPr>
        <w:t>An outstanding quality range of Lavender Fusion Marble can be used by our valued customers. Under the diligence of our adroit experts, the marble offered is precisely cut and finished using contemporary machines in tandem with set industry quality standards. This marble is available in many sizes, thicknesses, and finishes according to the needs of our prestigious customers, and is highly valued for its various characteristics such as long-lasting shine and fine finish.</w:t>
      </w:r>
      <w:r>
        <w:rPr>
          <w:rFonts w:ascii="Arial" w:hAnsi="Arial" w:cs="Arial"/>
          <w:color w:val="202124"/>
          <w:spacing w:val="2"/>
          <w:sz w:val="25"/>
          <w:szCs w:val="25"/>
        </w:rPr>
        <w:br/>
      </w:r>
      <w:r>
        <w:rPr>
          <w:rFonts w:ascii="Arial" w:hAnsi="Arial" w:cs="Arial"/>
          <w:color w:val="202124"/>
          <w:spacing w:val="2"/>
          <w:sz w:val="25"/>
          <w:szCs w:val="25"/>
          <w:shd w:val="clear" w:color="auto" w:fill="FFFFFF"/>
        </w:rPr>
        <w:t>The Lavender Fusion Marble is a vibrant dark black stone with a touch of lavender color and black, white, and dark grey vein movements. The stone is of optimal reliability and consistency. These slabs were processed in compliance with the regulations of the developed industry.</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Exporter of Lavender Fusion Marble Slab and serves in USA, UK, Europe, Australia, Union, Hong Kong, Belgium, South Korea, Canada, Mexico, Singapore, Switzerland, Laos, Maldives, Russia, Germany, France, Italy, Spain, Sweden, Nederland, Turkey, Poland, Albania, Romania, Bermuda, Guyana, and many other European countries.</w:t>
      </w:r>
    </w:p>
    <w:sectPr w:rsidR="00A571C7" w:rsidSect="00A571C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24293"/>
    <w:rsid w:val="00124293"/>
    <w:rsid w:val="00A571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1C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2021-01-04T06:10:00Z</dcterms:created>
  <dcterms:modified xsi:type="dcterms:W3CDTF">2021-01-04T06:11:00Z</dcterms:modified>
</cp:coreProperties>
</file>