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766F" w:rsidRDefault="00957A20">
      <w:r>
        <w:rPr>
          <w:rFonts w:ascii="Arial" w:hAnsi="Arial" w:cs="Arial"/>
          <w:color w:val="202124"/>
          <w:spacing w:val="2"/>
          <w:sz w:val="25"/>
          <w:szCs w:val="25"/>
          <w:shd w:val="clear" w:color="auto" w:fill="FFFFFF"/>
        </w:rPr>
        <w:t>This unique, sleek design features cross that provides a beautiful memorial for your loved one. Offering this serene monument at competitive prices.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responsive to customers’ needs and helping them build the monument as per their requirements. We are committed to create the one tribute that generations will see for hundreds of years to come.</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There are quarried granite materials from many parts of INDIA that include Grey, Black, Red and many more colors. Although granite grave monument (memorial) designs have changed over the years, traditional monument designs have been preserved at the same time, including many modern designs.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at Sungreet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t>
      </w:r>
    </w:p>
    <w:sectPr w:rsidR="00C2766F" w:rsidSect="00C2766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957A20"/>
    <w:rsid w:val="00957A20"/>
    <w:rsid w:val="00C276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766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843</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2020-12-29T11:11:00Z</dcterms:created>
  <dcterms:modified xsi:type="dcterms:W3CDTF">2020-12-29T11:11:00Z</dcterms:modified>
</cp:coreProperties>
</file>