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71E" w:rsidRDefault="00691A60">
      <w:r>
        <w:rPr>
          <w:rFonts w:ascii="Arial" w:hAnsi="Arial" w:cs="Arial"/>
          <w:color w:val="202124"/>
          <w:spacing w:val="2"/>
          <w:sz w:val="25"/>
          <w:szCs w:val="25"/>
          <w:shd w:val="clear" w:color="auto" w:fill="FFFFFF"/>
        </w:rPr>
        <w:t xml:space="preserve">Gray Family Tombstone Granite Monument is perfect for glorifying the memories of the beloved family members.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shd w:val="clear" w:color="auto" w:fill="FFFFFF"/>
        </w:rPr>
        <w:t xml:space="preserve"> Granite monuments were built throughout the ages by artisans who spent years learning to perfect their skills and inherited the art from their ancestors. 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C7771E" w:rsidSect="00C7771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91A60"/>
    <w:rsid w:val="00691A60"/>
    <w:rsid w:val="00C777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7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2020-12-29T11:24:00Z</dcterms:created>
  <dcterms:modified xsi:type="dcterms:W3CDTF">2020-12-29T11:24:00Z</dcterms:modified>
</cp:coreProperties>
</file>