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A" w:rsidRDefault="00A83FF7">
      <w:r>
        <w:rPr>
          <w:rFonts w:ascii="Arial" w:hAnsi="Arial" w:cs="Arial"/>
          <w:color w:val="202124"/>
          <w:spacing w:val="2"/>
          <w:sz w:val="25"/>
          <w:szCs w:val="25"/>
          <w:shd w:val="clear" w:color="auto" w:fill="FFFFFF"/>
        </w:rPr>
        <w:t xml:space="preserve">Kota Brown Limestone as the name suggests in light brownish in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and has been extensively used by architects and interior designers in the international and domestic market in a wide variety of applications such as paving, flooring, wall cladding. It is very hard limestone and can withstand hot and cold climatic conditions thus making it the preferred choice. It is used in various finishes such as natural cleft, honed, natural brushed, along with a special choice of hand-cut and machine-cut edges with tumbled edges.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worldwide exporter of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9A719A" w:rsidSect="009A71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A83FF7"/>
    <w:rsid w:val="009A719A"/>
    <w:rsid w:val="00A83F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2021-01-04T06:54:00Z</dcterms:created>
  <dcterms:modified xsi:type="dcterms:W3CDTF">2021-01-04T06:55:00Z</dcterms:modified>
</cp:coreProperties>
</file>